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A6F067" w14:textId="2D46EE99" w:rsidR="00DC4DBE" w:rsidRPr="00352A80" w:rsidRDefault="00DC4DBE" w:rsidP="00DC4DBE">
      <w:pPr>
        <w:spacing w:line="276" w:lineRule="auto"/>
        <w:jc w:val="center"/>
        <w:rPr>
          <w:b/>
          <w:bCs/>
          <w:sz w:val="28"/>
          <w:szCs w:val="28"/>
        </w:rPr>
      </w:pPr>
      <w:r w:rsidRPr="00352A80">
        <w:rPr>
          <w:b/>
          <w:bCs/>
          <w:sz w:val="28"/>
          <w:szCs w:val="28"/>
        </w:rPr>
        <w:t>ANÁLISIS Y RECOMENDACIONES FICHAS COMITÉ DE CONCILIACIÓN Y DEFENSA JUDICIAL SESIÓN 23 DE JULIO DE 2026</w:t>
      </w:r>
    </w:p>
    <w:p w14:paraId="7842A35D" w14:textId="77777777" w:rsidR="00DC4DBE" w:rsidRPr="00352A80" w:rsidRDefault="00DC4DBE" w:rsidP="00DC4DBE">
      <w:pPr>
        <w:spacing w:line="276" w:lineRule="auto"/>
        <w:jc w:val="both"/>
        <w:rPr>
          <w:sz w:val="28"/>
          <w:szCs w:val="28"/>
        </w:rPr>
      </w:pPr>
    </w:p>
    <w:p w14:paraId="0873AB1D" w14:textId="6700FFD6" w:rsidR="00DC4DBE" w:rsidRPr="00352A80" w:rsidRDefault="00C33DD3" w:rsidP="00DC4DBE">
      <w:pPr>
        <w:spacing w:before="100" w:beforeAutospacing="1" w:after="100" w:afterAutospacing="1"/>
        <w:jc w:val="both"/>
        <w:outlineLvl w:val="1"/>
        <w:rPr>
          <w:rFonts w:ascii="Cambria" w:hAnsi="Cambria"/>
          <w:b/>
          <w:bCs/>
          <w:sz w:val="28"/>
          <w:szCs w:val="28"/>
          <w:lang w:eastAsia="es-MX"/>
        </w:rPr>
      </w:pPr>
      <w:r w:rsidRPr="00352A80">
        <w:rPr>
          <w:rFonts w:ascii="Cambria" w:hAnsi="Cambria"/>
          <w:b/>
          <w:bCs/>
          <w:sz w:val="28"/>
          <w:szCs w:val="28"/>
        </w:rPr>
        <w:t>F</w:t>
      </w:r>
      <w:r w:rsidR="00DC4DBE" w:rsidRPr="00352A80">
        <w:rPr>
          <w:rFonts w:ascii="Cambria" w:hAnsi="Cambria"/>
          <w:b/>
          <w:bCs/>
          <w:sz w:val="28"/>
          <w:szCs w:val="28"/>
          <w:lang w:eastAsia="es-MX"/>
        </w:rPr>
        <w:t xml:space="preserve">icha No. </w:t>
      </w:r>
      <w:r w:rsidR="00DC4DBE" w:rsidRPr="00352A80">
        <w:rPr>
          <w:rFonts w:ascii="Cambria" w:hAnsi="Cambria"/>
          <w:b/>
          <w:bCs/>
          <w:sz w:val="28"/>
          <w:szCs w:val="28"/>
          <w:lang w:eastAsia="es-MX"/>
        </w:rPr>
        <w:t xml:space="preserve">1. </w:t>
      </w:r>
      <w:r w:rsidR="00DC4DBE" w:rsidRPr="00352A80">
        <w:rPr>
          <w:rFonts w:ascii="Cambria" w:hAnsi="Cambria"/>
          <w:b/>
          <w:bCs/>
          <w:sz w:val="28"/>
          <w:szCs w:val="28"/>
          <w:lang w:eastAsia="es-MX"/>
        </w:rPr>
        <w:t>410615</w:t>
      </w:r>
      <w:r w:rsidR="00DC4DBE" w:rsidRPr="00352A80">
        <w:rPr>
          <w:rFonts w:ascii="Cambria" w:hAnsi="Cambria"/>
          <w:b/>
          <w:bCs/>
          <w:sz w:val="28"/>
          <w:szCs w:val="28"/>
          <w:lang w:eastAsia="es-MX"/>
        </w:rPr>
        <w:t xml:space="preserve">- </w:t>
      </w:r>
      <w:r w:rsidR="00DC4DBE" w:rsidRPr="00352A80">
        <w:rPr>
          <w:rFonts w:ascii="Cambria" w:hAnsi="Cambria"/>
          <w:b/>
          <w:bCs/>
          <w:sz w:val="28"/>
          <w:szCs w:val="28"/>
          <w:lang w:eastAsia="es-MX"/>
        </w:rPr>
        <w:t>Julieta Serna Hoyos – Acción popular</w:t>
      </w:r>
      <w:r w:rsidR="008B4C52">
        <w:rPr>
          <w:rFonts w:ascii="Cambria" w:hAnsi="Cambria"/>
          <w:b/>
          <w:bCs/>
          <w:sz w:val="28"/>
          <w:szCs w:val="28"/>
          <w:lang w:eastAsia="es-MX"/>
        </w:rPr>
        <w:t>-</w:t>
      </w:r>
      <w:r w:rsidR="00DC4DBE" w:rsidRPr="00352A80">
        <w:rPr>
          <w:rFonts w:ascii="Cambria" w:hAnsi="Cambria"/>
          <w:b/>
          <w:bCs/>
          <w:sz w:val="28"/>
          <w:szCs w:val="28"/>
          <w:lang w:eastAsia="es-MX"/>
        </w:rPr>
        <w:t xml:space="preserve"> Estación de Policía de Balboa</w:t>
      </w:r>
      <w:r w:rsidRPr="00352A80">
        <w:rPr>
          <w:rFonts w:ascii="Cambria" w:hAnsi="Cambria"/>
          <w:b/>
          <w:bCs/>
          <w:sz w:val="28"/>
          <w:szCs w:val="28"/>
          <w:lang w:eastAsia="es-MX"/>
        </w:rPr>
        <w:t>:</w:t>
      </w:r>
    </w:p>
    <w:p w14:paraId="0D0B727B" w14:textId="77777777"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La acción popular se origina en la precariedad de la infraestructura utilizada para el funcionamiento de la Estación de Policía de Balboa. La antigua sede fue desocupada por encontrarse en una zona de riesgo por movimiento en masa y, desde 2022, el servicio opera en un inmueble arrendado que aparentemente no cumple las especificaciones técnicas exigidas para una estación policial ni dispone de espacios adecuados para la detención transitoria.</w:t>
      </w:r>
    </w:p>
    <w:p w14:paraId="0B338F4F" w14:textId="77777777"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La demandante pretende que el Ministerio de Defensa, la Policía Nacional, el Ministerio del Interior y el municipio de Balboa sean declarados responsables de la vulneración de derechos colectivos y que se les ordene:</w:t>
      </w:r>
    </w:p>
    <w:p w14:paraId="540D8D22" w14:textId="77777777" w:rsidR="00C33DD3" w:rsidRPr="00C33DD3" w:rsidRDefault="00C33DD3" w:rsidP="00C33DD3">
      <w:pPr>
        <w:numPr>
          <w:ilvl w:val="0"/>
          <w:numId w:val="3"/>
        </w:num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 xml:space="preserve">Coordinar la demolición de la antigua estación. </w:t>
      </w:r>
    </w:p>
    <w:p w14:paraId="26EC3D7A" w14:textId="77777777" w:rsidR="00C33DD3" w:rsidRPr="00C33DD3" w:rsidRDefault="00C33DD3" w:rsidP="00C33DD3">
      <w:pPr>
        <w:numPr>
          <w:ilvl w:val="0"/>
          <w:numId w:val="3"/>
        </w:num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 xml:space="preserve">Construir una nueva estación de policía. </w:t>
      </w:r>
    </w:p>
    <w:p w14:paraId="4FFF28EB" w14:textId="77777777" w:rsidR="00C33DD3" w:rsidRPr="00C33DD3" w:rsidRDefault="00C33DD3" w:rsidP="00C33DD3">
      <w:pPr>
        <w:numPr>
          <w:ilvl w:val="0"/>
          <w:numId w:val="3"/>
        </w:num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 xml:space="preserve">Incorporar una URI o centro de protección para sindicados. </w:t>
      </w:r>
    </w:p>
    <w:p w14:paraId="0AD190AC" w14:textId="77777777" w:rsidR="00C33DD3" w:rsidRPr="00C33DD3" w:rsidRDefault="00C33DD3" w:rsidP="00C33DD3">
      <w:pPr>
        <w:numPr>
          <w:ilvl w:val="0"/>
          <w:numId w:val="3"/>
        </w:num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 xml:space="preserve">Ejecutar la demolición en tres meses y la construcción en ocho meses. </w:t>
      </w:r>
    </w:p>
    <w:p w14:paraId="24A7CD09" w14:textId="77777777" w:rsidR="00C33DD3" w:rsidRPr="00C33DD3" w:rsidRDefault="00C33DD3" w:rsidP="00C33DD3">
      <w:pPr>
        <w:spacing w:before="100" w:beforeAutospacing="1" w:after="100" w:afterAutospacing="1"/>
        <w:jc w:val="both"/>
        <w:outlineLvl w:val="1"/>
        <w:rPr>
          <w:rFonts w:ascii="Cambria" w:hAnsi="Cambria"/>
          <w:b/>
          <w:bCs/>
          <w:szCs w:val="24"/>
          <w:lang w:eastAsia="es-MX"/>
        </w:rPr>
      </w:pPr>
      <w:r w:rsidRPr="00C33DD3">
        <w:rPr>
          <w:rFonts w:ascii="Cambria" w:hAnsi="Cambria"/>
          <w:szCs w:val="24"/>
          <w:lang w:eastAsia="es-MX"/>
        </w:rPr>
        <w:t>La defensa del Ministerio se sustenta en falta de legitimación material en la causa por pasiva, bajo el argumento de que esta cartera no tiene competencia para construir o mantener infraestructura policial</w:t>
      </w:r>
      <w:r w:rsidRPr="00C33DD3">
        <w:rPr>
          <w:rFonts w:ascii="Cambria" w:hAnsi="Cambria"/>
          <w:b/>
          <w:bCs/>
          <w:szCs w:val="24"/>
          <w:lang w:eastAsia="es-MX"/>
        </w:rPr>
        <w:t>.</w:t>
      </w:r>
    </w:p>
    <w:p w14:paraId="237DB28B" w14:textId="7786FB6F"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Recomendación sobre reformulación del</w:t>
      </w:r>
      <w:r w:rsidRPr="00C33DD3">
        <w:rPr>
          <w:rFonts w:ascii="Cambria" w:hAnsi="Cambria"/>
          <w:szCs w:val="24"/>
          <w:lang w:eastAsia="es-MX"/>
        </w:rPr>
        <w:t xml:space="preserve"> </w:t>
      </w:r>
      <w:r w:rsidRPr="00C33DD3">
        <w:rPr>
          <w:rFonts w:ascii="Cambria" w:hAnsi="Cambria"/>
          <w:szCs w:val="24"/>
          <w:lang w:eastAsia="es-MX"/>
        </w:rPr>
        <w:t>p</w:t>
      </w:r>
      <w:r w:rsidRPr="00C33DD3">
        <w:rPr>
          <w:rFonts w:ascii="Cambria" w:hAnsi="Cambria"/>
          <w:szCs w:val="24"/>
          <w:lang w:eastAsia="es-MX"/>
        </w:rPr>
        <w:t>roblema jurídico</w:t>
      </w:r>
      <w:r w:rsidRPr="00C33DD3">
        <w:rPr>
          <w:rFonts w:ascii="Cambria" w:hAnsi="Cambria"/>
          <w:szCs w:val="24"/>
          <w:lang w:eastAsia="es-MX"/>
        </w:rPr>
        <w:t xml:space="preserve">: </w:t>
      </w:r>
      <w:r w:rsidRPr="00C33DD3">
        <w:rPr>
          <w:rFonts w:ascii="Cambria" w:hAnsi="Cambria"/>
          <w:szCs w:val="24"/>
          <w:lang w:eastAsia="es-MX"/>
        </w:rPr>
        <w:t>La ficha debe separar dos cuestiones que actualmente aparecen indebidamente fusionadas:</w:t>
      </w:r>
    </w:p>
    <w:p w14:paraId="283735B8" w14:textId="77777777"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¿Existe una conducta activa u omisiva atribuible al Ministerio del Interior que haya contribuido causalmente a la amenaza o vulneración de los derechos colectivos invocados y que permita imponerle la demolición, construcción, operación o sostenimiento de la Estación de Policía de Balboa y de un centro de detención transitoria?</w:t>
      </w:r>
    </w:p>
    <w:p w14:paraId="6914A8A9" w14:textId="77777777"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Y, de manera subsidiaria:</w:t>
      </w:r>
    </w:p>
    <w:p w14:paraId="58974CE9" w14:textId="77777777" w:rsidR="00C33DD3" w:rsidRPr="00C33DD3" w:rsidRDefault="00C33DD3" w:rsidP="00C33DD3">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lastRenderedPageBreak/>
        <w:t>¿Las funciones de administración de FONSECON y de articulación de proyectos de infraestructura para la seguridad permiten vincular al Ministerio a una orden limitada de orientación, evaluación o eventual cofinanciación, sin convertir esas competencias en una obligación automática de construir la obra solicitada?</w:t>
      </w:r>
    </w:p>
    <w:p w14:paraId="2E3A417D" w14:textId="1068CED5" w:rsidR="00C33DD3" w:rsidRPr="00C33DD3" w:rsidRDefault="00C33DD3" w:rsidP="00DC4DBE">
      <w:pPr>
        <w:spacing w:before="100" w:beforeAutospacing="1" w:after="100" w:afterAutospacing="1"/>
        <w:jc w:val="both"/>
        <w:outlineLvl w:val="1"/>
        <w:rPr>
          <w:rFonts w:ascii="Cambria" w:hAnsi="Cambria"/>
          <w:szCs w:val="24"/>
          <w:lang w:eastAsia="es-MX"/>
        </w:rPr>
      </w:pPr>
      <w:r w:rsidRPr="00C33DD3">
        <w:rPr>
          <w:rFonts w:ascii="Cambria" w:hAnsi="Cambria"/>
          <w:szCs w:val="24"/>
          <w:lang w:eastAsia="es-MX"/>
        </w:rPr>
        <w:t>Esta segunda cuestión es decisiva y está ausente de la ficha.</w:t>
      </w:r>
    </w:p>
    <w:p w14:paraId="58782BD5"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 xml:space="preserve">La Secretaría General comparte la recomendación de </w:t>
      </w:r>
      <w:r w:rsidRPr="00DC4DBE">
        <w:rPr>
          <w:rFonts w:ascii="Cambria" w:hAnsi="Cambria"/>
          <w:b/>
          <w:bCs/>
          <w:szCs w:val="24"/>
          <w:lang w:eastAsia="es-MX"/>
        </w:rPr>
        <w:t>no aceptar el pacto de cumplimiento en los términos formulados en la demanda</w:t>
      </w:r>
      <w:r w:rsidRPr="00DC4DBE">
        <w:rPr>
          <w:rFonts w:ascii="Cambria" w:hAnsi="Cambria"/>
          <w:szCs w:val="24"/>
          <w:lang w:eastAsia="es-MX"/>
        </w:rPr>
        <w:t>, debido a que no se encuentra acreditada una omisión concreta, exigible y causalmente atribuible al Ministerio del Interior que permita imponerle la demolición de la antigua estación, la construcción de una nueva sede o la implementación de una URI o centro de detención transitoria.</w:t>
      </w:r>
    </w:p>
    <w:p w14:paraId="15368258"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No obstante, debe corregirse el fundamento de la ficha, pues no resulta jurídicamente sostenible afirmar que el Ministerio carece de toda competencia relacionada con infraestructura para la seguridad. La administración de FONSECON y las funciones institucionales de orientación, evaluación y eventual cofinanciación de proyectos evidencian que el Ministerio puede intervenir en procesos de articulación. Sin embargo, estas competencias no generan una obligación automática de financiar, contratar o ejecutar cualquier estación de policía solicitada por una entidad territorial.</w:t>
      </w:r>
    </w:p>
    <w:p w14:paraId="67331606"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En el expediente no aparece acreditada la existencia de un proyecto debidamente estructurado y presentado ante FONSECON, ni la disponibilidad jurídica y viabilidad técnica del predio, los estudios y diseños, el aval de la Policía Nacional, la incorporación de la iniciativa en el PISCC, su priorización por el Comité Territorial de Orden Público, las fuentes de financiación o la disponibilidad presupuestal. En estas condiciones, aceptar la construcción dentro del término de ocho meses solicitado desconocería los principios de legalidad presupuestal, planeación y contratación estatal.</w:t>
      </w:r>
    </w:p>
    <w:p w14:paraId="2DE0DCE4" w14:textId="0B7FF41E" w:rsid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 xml:space="preserve">También debe diferenciarse la construcción de una estación de policía de la implementación de una URI o centro para sindicados. La </w:t>
      </w:r>
      <w:r>
        <w:rPr>
          <w:rFonts w:ascii="Cambria" w:hAnsi="Cambria"/>
          <w:szCs w:val="24"/>
          <w:lang w:eastAsia="es-MX"/>
        </w:rPr>
        <w:t xml:space="preserve"> sentencia </w:t>
      </w:r>
      <w:r w:rsidRPr="00DC4DBE">
        <w:rPr>
          <w:rFonts w:ascii="Cambria" w:hAnsi="Cambria"/>
          <w:szCs w:val="24"/>
          <w:lang w:eastAsia="es-MX"/>
        </w:rPr>
        <w:t>SU-122 de 2022 no atribuyó al Ministerio del Interior la obligación de construir centros de detención transitoria; esta materia involucra principalmente a las entidades territoriales, al sector Justicia y a las autoridades encargadas de la custodia de las personas privadas de la libertad.</w:t>
      </w:r>
    </w:p>
    <w:p w14:paraId="28922CA9" w14:textId="77777777" w:rsidR="00DC4DBE" w:rsidRPr="00DC4DBE" w:rsidRDefault="00DC4DBE" w:rsidP="00DC4DBE">
      <w:pPr>
        <w:spacing w:before="100" w:beforeAutospacing="1" w:after="100" w:afterAutospacing="1"/>
        <w:jc w:val="both"/>
        <w:rPr>
          <w:rFonts w:ascii="Cambria" w:hAnsi="Cambria"/>
          <w:szCs w:val="24"/>
          <w:lang w:eastAsia="es-MX"/>
        </w:rPr>
      </w:pPr>
    </w:p>
    <w:p w14:paraId="2686E235"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lastRenderedPageBreak/>
        <w:t xml:space="preserve">El riesgo de una condena directa contra el Ministerio para demoler, construir o financiar la obra es </w:t>
      </w:r>
      <w:r w:rsidRPr="00DC4DBE">
        <w:rPr>
          <w:rFonts w:ascii="Cambria" w:hAnsi="Cambria"/>
          <w:b/>
          <w:bCs/>
          <w:szCs w:val="24"/>
          <w:lang w:eastAsia="es-MX"/>
        </w:rPr>
        <w:t>bajo</w:t>
      </w:r>
      <w:r w:rsidRPr="00DC4DBE">
        <w:rPr>
          <w:rFonts w:ascii="Cambria" w:hAnsi="Cambria"/>
          <w:szCs w:val="24"/>
          <w:lang w:eastAsia="es-MX"/>
        </w:rPr>
        <w:t xml:space="preserve">. No obstante, existe un riesgo </w:t>
      </w:r>
      <w:r w:rsidRPr="00DC4DBE">
        <w:rPr>
          <w:rFonts w:ascii="Cambria" w:hAnsi="Cambria"/>
          <w:b/>
          <w:bCs/>
          <w:szCs w:val="24"/>
          <w:lang w:eastAsia="es-MX"/>
        </w:rPr>
        <w:t>medio</w:t>
      </w:r>
      <w:r w:rsidRPr="00DC4DBE">
        <w:rPr>
          <w:rFonts w:ascii="Cambria" w:hAnsi="Cambria"/>
          <w:szCs w:val="24"/>
          <w:lang w:eastAsia="es-MX"/>
        </w:rPr>
        <w:t xml:space="preserve"> de que el Tribunal le imponga deberes de coordinación, orientación técnica o evaluación institucional, especialmente si la defensa insiste en una falta absoluta de competencia que puede ser desvirtuada por el régimen de FONSECON. Por ello, el riesgo global debería calificarse como </w:t>
      </w:r>
      <w:r w:rsidRPr="00DC4DBE">
        <w:rPr>
          <w:rFonts w:ascii="Cambria" w:hAnsi="Cambria"/>
          <w:b/>
          <w:bCs/>
          <w:szCs w:val="24"/>
          <w:lang w:eastAsia="es-MX"/>
        </w:rPr>
        <w:t>bajo con tendencia media</w:t>
      </w:r>
      <w:r w:rsidRPr="00DC4DBE">
        <w:rPr>
          <w:rFonts w:ascii="Cambria" w:hAnsi="Cambria"/>
          <w:szCs w:val="24"/>
          <w:lang w:eastAsia="es-MX"/>
        </w:rPr>
        <w:t>.</w:t>
      </w:r>
    </w:p>
    <w:p w14:paraId="1FA0DAC1"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En consecuencia, se recomienda:</w:t>
      </w:r>
    </w:p>
    <w:p w14:paraId="78F4ED3C"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b/>
          <w:bCs/>
          <w:szCs w:val="24"/>
          <w:lang w:eastAsia="es-MX"/>
        </w:rPr>
        <w:t>No aceptar una fórmula de pacto que implique el reconocimiento de responsabilidad del Ministerio del Interior o la asunción directa, solidaria o incondicionada de obligaciones de demolición, construcción, financiación, operación o sostenimiento de la Estación de Policía de Balboa o de un centro de detención transitoria.</w:t>
      </w:r>
    </w:p>
    <w:p w14:paraId="673E0FCE" w14:textId="77777777" w:rsidR="00DC4DBE" w:rsidRPr="00DC4DBE" w:rsidRDefault="00DC4DBE" w:rsidP="00DC4DBE">
      <w:pPr>
        <w:spacing w:before="100" w:beforeAutospacing="1" w:after="100" w:afterAutospacing="1"/>
        <w:jc w:val="both"/>
        <w:rPr>
          <w:rFonts w:ascii="Cambria" w:hAnsi="Cambria"/>
          <w:szCs w:val="24"/>
          <w:lang w:eastAsia="es-MX"/>
        </w:rPr>
      </w:pPr>
      <w:r w:rsidRPr="00DC4DBE">
        <w:rPr>
          <w:rFonts w:ascii="Cambria" w:hAnsi="Cambria"/>
          <w:szCs w:val="24"/>
          <w:lang w:eastAsia="es-MX"/>
        </w:rPr>
        <w:t>Sin perjuicio de lo anterior, podría explorarse una fórmula limitada, sin reconocimiento de responsabilidad ni compromiso de recursos, mediante la cual la dependencia competente oriente al municipio de Balboa sobre los requisitos y la ruta para la eventual presentación de un proyecto ante FONSECON. Cualquier evaluación o cofinanciación deberá quedar condicionada a la estructuración integral del proyecto, el aval de la Policía Nacional, la viabilidad técnica y jurídica del predio, la priorización correspondiente y la disponibilidad presupuestal.</w:t>
      </w:r>
    </w:p>
    <w:p w14:paraId="52F13929" w14:textId="77777777" w:rsidR="00DC4DBE" w:rsidRPr="00DC4DBE" w:rsidRDefault="00DC4DBE" w:rsidP="00DC4DBE">
      <w:pPr>
        <w:spacing w:before="100" w:beforeAutospacing="1" w:after="100" w:afterAutospacing="1"/>
        <w:jc w:val="both"/>
        <w:rPr>
          <w:szCs w:val="24"/>
          <w:lang w:eastAsia="es-MX"/>
        </w:rPr>
      </w:pPr>
      <w:r w:rsidRPr="00DC4DBE">
        <w:rPr>
          <w:rFonts w:ascii="Cambria" w:hAnsi="Cambria"/>
          <w:szCs w:val="24"/>
          <w:lang w:eastAsia="es-MX"/>
        </w:rPr>
        <w:t>Finalmente, antes de la sesión debe solicitarse al apoderado que verifique la existencia y trazabilidad de solicitudes o proyectos presentados al Ministerio, la titularidad y situación técnica del antiguo inmueble, la intervención de FONSECON, la priorización territorial y la competencia específica de cada entidad demandada. También deberá corregirse la inconsistencia de fechas, armonizar los derechos colectivos invocados e incorporar el precedente judicial aplicable</w:t>
      </w:r>
      <w:r w:rsidRPr="00DC4DBE">
        <w:rPr>
          <w:szCs w:val="24"/>
          <w:lang w:eastAsia="es-MX"/>
        </w:rPr>
        <w:t>.</w:t>
      </w:r>
    </w:p>
    <w:p w14:paraId="021C5FB5" w14:textId="77777777" w:rsidR="00500A30" w:rsidRDefault="00500A30" w:rsidP="00C33DD3">
      <w:pPr>
        <w:spacing w:line="276" w:lineRule="auto"/>
        <w:jc w:val="both"/>
        <w:rPr>
          <w:rFonts w:ascii="Cambria" w:hAnsi="Cambria"/>
          <w:b/>
          <w:bCs/>
          <w:sz w:val="28"/>
          <w:szCs w:val="28"/>
        </w:rPr>
      </w:pPr>
    </w:p>
    <w:p w14:paraId="5F768E04" w14:textId="77777777" w:rsidR="00500A30" w:rsidRDefault="00500A30" w:rsidP="00C33DD3">
      <w:pPr>
        <w:spacing w:line="276" w:lineRule="auto"/>
        <w:jc w:val="both"/>
        <w:rPr>
          <w:rFonts w:ascii="Cambria" w:hAnsi="Cambria"/>
          <w:b/>
          <w:bCs/>
          <w:sz w:val="28"/>
          <w:szCs w:val="28"/>
        </w:rPr>
      </w:pPr>
    </w:p>
    <w:p w14:paraId="5F454262" w14:textId="77777777" w:rsidR="00500A30" w:rsidRDefault="00500A30" w:rsidP="00C33DD3">
      <w:pPr>
        <w:spacing w:line="276" w:lineRule="auto"/>
        <w:jc w:val="both"/>
        <w:rPr>
          <w:rFonts w:ascii="Cambria" w:hAnsi="Cambria"/>
          <w:b/>
          <w:bCs/>
          <w:sz w:val="28"/>
          <w:szCs w:val="28"/>
        </w:rPr>
      </w:pPr>
    </w:p>
    <w:p w14:paraId="3C6BFFBA" w14:textId="77777777" w:rsidR="00500A30" w:rsidRDefault="00500A30" w:rsidP="00C33DD3">
      <w:pPr>
        <w:spacing w:line="276" w:lineRule="auto"/>
        <w:jc w:val="both"/>
        <w:rPr>
          <w:rFonts w:ascii="Cambria" w:hAnsi="Cambria"/>
          <w:b/>
          <w:bCs/>
          <w:sz w:val="28"/>
          <w:szCs w:val="28"/>
        </w:rPr>
      </w:pPr>
    </w:p>
    <w:p w14:paraId="6E699C79" w14:textId="77777777" w:rsidR="00500A30" w:rsidRDefault="00500A30" w:rsidP="00C33DD3">
      <w:pPr>
        <w:spacing w:line="276" w:lineRule="auto"/>
        <w:jc w:val="both"/>
        <w:rPr>
          <w:rFonts w:ascii="Cambria" w:hAnsi="Cambria"/>
          <w:b/>
          <w:bCs/>
          <w:sz w:val="28"/>
          <w:szCs w:val="28"/>
        </w:rPr>
      </w:pPr>
    </w:p>
    <w:p w14:paraId="203E1B63" w14:textId="77777777" w:rsidR="00500A30" w:rsidRDefault="00500A30" w:rsidP="00C33DD3">
      <w:pPr>
        <w:spacing w:line="276" w:lineRule="auto"/>
        <w:jc w:val="both"/>
        <w:rPr>
          <w:rFonts w:ascii="Cambria" w:hAnsi="Cambria"/>
          <w:b/>
          <w:bCs/>
          <w:sz w:val="28"/>
          <w:szCs w:val="28"/>
        </w:rPr>
      </w:pPr>
    </w:p>
    <w:p w14:paraId="003DB77D" w14:textId="3FB18554" w:rsidR="00C33DD3" w:rsidRPr="00352A80" w:rsidRDefault="00C33DD3" w:rsidP="00C33DD3">
      <w:pPr>
        <w:spacing w:line="276" w:lineRule="auto"/>
        <w:jc w:val="both"/>
        <w:rPr>
          <w:rFonts w:ascii="Cambria" w:hAnsi="Cambria"/>
          <w:b/>
          <w:bCs/>
          <w:sz w:val="28"/>
          <w:szCs w:val="28"/>
        </w:rPr>
      </w:pPr>
      <w:r w:rsidRPr="00352A80">
        <w:rPr>
          <w:rFonts w:ascii="Cambria" w:hAnsi="Cambria"/>
          <w:b/>
          <w:bCs/>
          <w:sz w:val="28"/>
          <w:szCs w:val="28"/>
        </w:rPr>
        <w:lastRenderedPageBreak/>
        <w:t>Ficha</w:t>
      </w:r>
      <w:r w:rsidRPr="00352A80">
        <w:rPr>
          <w:rFonts w:ascii="Cambria" w:hAnsi="Cambria"/>
          <w:b/>
          <w:bCs/>
          <w:sz w:val="28"/>
          <w:szCs w:val="28"/>
        </w:rPr>
        <w:t xml:space="preserve"> 2</w:t>
      </w:r>
      <w:r w:rsidRPr="00352A80">
        <w:rPr>
          <w:rFonts w:ascii="Cambria" w:hAnsi="Cambria"/>
          <w:b/>
          <w:bCs/>
          <w:sz w:val="28"/>
          <w:szCs w:val="28"/>
        </w:rPr>
        <w:t xml:space="preserve"> No. 410614</w:t>
      </w:r>
      <w:r w:rsidRPr="00352A80">
        <w:rPr>
          <w:rFonts w:ascii="Cambria" w:hAnsi="Cambria"/>
          <w:b/>
          <w:bCs/>
          <w:sz w:val="28"/>
          <w:szCs w:val="28"/>
        </w:rPr>
        <w:t xml:space="preserve">- </w:t>
      </w:r>
      <w:proofErr w:type="spellStart"/>
      <w:r w:rsidRPr="00352A80">
        <w:rPr>
          <w:rFonts w:ascii="Cambria" w:hAnsi="Cambria"/>
          <w:b/>
          <w:bCs/>
          <w:sz w:val="28"/>
          <w:szCs w:val="28"/>
        </w:rPr>
        <w:t>Yirson</w:t>
      </w:r>
      <w:proofErr w:type="spellEnd"/>
      <w:r w:rsidRPr="00352A80">
        <w:rPr>
          <w:rFonts w:ascii="Cambria" w:hAnsi="Cambria"/>
          <w:b/>
          <w:bCs/>
          <w:sz w:val="28"/>
          <w:szCs w:val="28"/>
        </w:rPr>
        <w:t xml:space="preserve"> Marino Ledezma Martínez –</w:t>
      </w:r>
      <w:r w:rsidR="008B4C52">
        <w:rPr>
          <w:rFonts w:ascii="Cambria" w:hAnsi="Cambria"/>
          <w:b/>
          <w:bCs/>
          <w:sz w:val="28"/>
          <w:szCs w:val="28"/>
        </w:rPr>
        <w:t xml:space="preserve"> Acción popular-</w:t>
      </w:r>
      <w:r w:rsidRPr="00352A80">
        <w:rPr>
          <w:rFonts w:ascii="Cambria" w:hAnsi="Cambria"/>
          <w:b/>
          <w:bCs/>
          <w:sz w:val="28"/>
          <w:szCs w:val="28"/>
        </w:rPr>
        <w:t xml:space="preserve"> Construcción de la sede administrativa de López de Micay</w:t>
      </w:r>
      <w:r w:rsidRPr="00352A80">
        <w:rPr>
          <w:rFonts w:ascii="Cambria" w:hAnsi="Cambria"/>
          <w:b/>
          <w:bCs/>
          <w:sz w:val="28"/>
          <w:szCs w:val="28"/>
        </w:rPr>
        <w:t>:</w:t>
      </w:r>
    </w:p>
    <w:p w14:paraId="43A5CCDC" w14:textId="77777777" w:rsidR="00C33DD3" w:rsidRDefault="00C33DD3" w:rsidP="00C33DD3">
      <w:pPr>
        <w:spacing w:line="276" w:lineRule="auto"/>
        <w:jc w:val="both"/>
        <w:rPr>
          <w:rFonts w:ascii="Cambria" w:hAnsi="Cambria"/>
        </w:rPr>
      </w:pPr>
    </w:p>
    <w:p w14:paraId="53CB7872" w14:textId="77777777" w:rsidR="00C33DD3" w:rsidRPr="00C33DD3" w:rsidRDefault="00C33DD3" w:rsidP="00C33DD3">
      <w:pPr>
        <w:spacing w:line="276" w:lineRule="auto"/>
        <w:jc w:val="both"/>
        <w:rPr>
          <w:rFonts w:ascii="Cambria" w:hAnsi="Cambria"/>
        </w:rPr>
      </w:pPr>
      <w:r w:rsidRPr="00C33DD3">
        <w:rPr>
          <w:rFonts w:ascii="Cambria" w:hAnsi="Cambria"/>
        </w:rPr>
        <w:t>La acción popular cuestiona la paralización del proyecto para la construcción de la sede administrativa del municipio de López de Micay, cofinanciado por el Ministerio del Interior —FONSECON— mediante el Convenio Interadministrativo No. 2057 de 2021.</w:t>
      </w:r>
    </w:p>
    <w:p w14:paraId="3FD89E7B" w14:textId="77777777" w:rsidR="00C33DD3" w:rsidRPr="00C33DD3" w:rsidRDefault="00C33DD3" w:rsidP="00C33DD3">
      <w:pPr>
        <w:spacing w:line="276" w:lineRule="auto"/>
        <w:jc w:val="both"/>
        <w:rPr>
          <w:rFonts w:ascii="Cambria" w:hAnsi="Cambria"/>
        </w:rPr>
      </w:pPr>
      <w:r w:rsidRPr="00C33DD3">
        <w:rPr>
          <w:rFonts w:ascii="Cambria" w:hAnsi="Cambria"/>
        </w:rPr>
        <w:t>El municipio celebró el contrato de obra No. F2-F14-243-2022, por valor de $5.406.693.215, y el contrato de interventoría No. 257 de 2022. La antigua sede fue demolida, pero la nueva edificación no fue terminada. Según la ficha, el municipio habría girado al contratista aproximadamente $2.888.377.985, equivalentes al 80 % del primer desembolso nacional, sin contar con diseños fase III aprobados, cierre financiero ni autorización de la supervisión nacional.</w:t>
      </w:r>
    </w:p>
    <w:p w14:paraId="3080777A" w14:textId="77777777" w:rsidR="00C33DD3" w:rsidRDefault="00C33DD3" w:rsidP="00C33DD3">
      <w:pPr>
        <w:spacing w:line="276" w:lineRule="auto"/>
        <w:jc w:val="both"/>
        <w:rPr>
          <w:rFonts w:ascii="Cambria" w:hAnsi="Cambria"/>
        </w:rPr>
      </w:pPr>
    </w:p>
    <w:p w14:paraId="7444B231" w14:textId="5691C006" w:rsidR="00C33DD3" w:rsidRPr="00C33DD3" w:rsidRDefault="00C33DD3" w:rsidP="00C33DD3">
      <w:pPr>
        <w:spacing w:line="276" w:lineRule="auto"/>
        <w:jc w:val="both"/>
        <w:rPr>
          <w:rFonts w:ascii="Cambria" w:hAnsi="Cambria"/>
        </w:rPr>
      </w:pPr>
      <w:r w:rsidRPr="00C33DD3">
        <w:rPr>
          <w:rFonts w:ascii="Cambria" w:hAnsi="Cambria"/>
        </w:rPr>
        <w:t>El Ministerio sostiene que protegió el patrimonio público al negar una adición técnicamente inviable, requerir en siete oportunidades el reintegro de los recursos y promover una controversia contractual y denuncias penales. Con fundamento en ello, recomienda no pactar.</w:t>
      </w:r>
    </w:p>
    <w:p w14:paraId="7C0AA1A8" w14:textId="77777777" w:rsidR="00C33DD3" w:rsidRDefault="00C33DD3" w:rsidP="00C33DD3">
      <w:pPr>
        <w:spacing w:line="276" w:lineRule="auto"/>
        <w:jc w:val="both"/>
        <w:rPr>
          <w:rFonts w:ascii="Cambria" w:hAnsi="Cambria"/>
        </w:rPr>
      </w:pPr>
    </w:p>
    <w:p w14:paraId="7250145C" w14:textId="046D5C38" w:rsidR="00C33DD3" w:rsidRDefault="00C33DD3" w:rsidP="00C33DD3">
      <w:pPr>
        <w:spacing w:line="276" w:lineRule="auto"/>
        <w:jc w:val="both"/>
        <w:rPr>
          <w:rFonts w:ascii="Cambria" w:hAnsi="Cambria"/>
        </w:rPr>
      </w:pPr>
      <w:r w:rsidRPr="00C33DD3">
        <w:rPr>
          <w:rFonts w:ascii="Cambria" w:hAnsi="Cambria"/>
        </w:rPr>
        <w:t>La ficha debe</w:t>
      </w:r>
      <w:r>
        <w:rPr>
          <w:rFonts w:ascii="Cambria" w:hAnsi="Cambria"/>
        </w:rPr>
        <w:t xml:space="preserve"> complementarse</w:t>
      </w:r>
      <w:r w:rsidRPr="00C33DD3">
        <w:rPr>
          <w:rFonts w:ascii="Cambria" w:hAnsi="Cambria"/>
        </w:rPr>
        <w:t xml:space="preserve"> aborda</w:t>
      </w:r>
      <w:r>
        <w:rPr>
          <w:rFonts w:ascii="Cambria" w:hAnsi="Cambria"/>
        </w:rPr>
        <w:t>ndo</w:t>
      </w:r>
      <w:r w:rsidRPr="00C33DD3">
        <w:rPr>
          <w:rFonts w:ascii="Cambria" w:hAnsi="Cambria"/>
        </w:rPr>
        <w:t>, por separado, los siguientes problemas</w:t>
      </w:r>
      <w:r>
        <w:rPr>
          <w:rFonts w:ascii="Cambria" w:hAnsi="Cambria"/>
        </w:rPr>
        <w:t xml:space="preserve"> jurídicos</w:t>
      </w:r>
      <w:r w:rsidRPr="00C33DD3">
        <w:rPr>
          <w:rFonts w:ascii="Cambria" w:hAnsi="Cambria"/>
        </w:rPr>
        <w:t>:</w:t>
      </w:r>
    </w:p>
    <w:p w14:paraId="4A9C9A44" w14:textId="77777777" w:rsidR="00C33DD3" w:rsidRPr="00C33DD3" w:rsidRDefault="00C33DD3" w:rsidP="00C33DD3">
      <w:pPr>
        <w:spacing w:line="276" w:lineRule="auto"/>
        <w:jc w:val="both"/>
        <w:rPr>
          <w:rFonts w:ascii="Cambria" w:hAnsi="Cambria"/>
        </w:rPr>
      </w:pPr>
    </w:p>
    <w:p w14:paraId="0529FBA5" w14:textId="77777777" w:rsidR="00C33DD3" w:rsidRPr="00C33DD3" w:rsidRDefault="00C33DD3" w:rsidP="00C33DD3">
      <w:pPr>
        <w:spacing w:line="276" w:lineRule="auto"/>
        <w:jc w:val="both"/>
        <w:rPr>
          <w:rFonts w:ascii="Cambria" w:hAnsi="Cambria"/>
        </w:rPr>
      </w:pPr>
      <w:r w:rsidRPr="00C33DD3">
        <w:rPr>
          <w:rFonts w:ascii="Cambria" w:hAnsi="Cambria"/>
        </w:rPr>
        <w:t xml:space="preserve">¿La participación del Ministerio del Interior como </w:t>
      </w:r>
      <w:proofErr w:type="spellStart"/>
      <w:r w:rsidRPr="00C33DD3">
        <w:rPr>
          <w:rFonts w:ascii="Cambria" w:hAnsi="Cambria"/>
        </w:rPr>
        <w:t>cofinanciador</w:t>
      </w:r>
      <w:proofErr w:type="spellEnd"/>
      <w:r w:rsidRPr="00C33DD3">
        <w:rPr>
          <w:rFonts w:ascii="Cambria" w:hAnsi="Cambria"/>
        </w:rPr>
        <w:t>, administrador de recursos de FONSECON y supervisor del Convenio No. 2057 de 2021 permite atribuirle alguna acción u omisión causalmente vinculada con la paralización del proyecto y con la amenaza al patrimonio público?</w:t>
      </w:r>
    </w:p>
    <w:p w14:paraId="36A7A3E9" w14:textId="77777777" w:rsidR="00C33DD3" w:rsidRPr="00C33DD3" w:rsidRDefault="00C33DD3" w:rsidP="00C33DD3">
      <w:pPr>
        <w:spacing w:line="276" w:lineRule="auto"/>
        <w:jc w:val="both"/>
        <w:rPr>
          <w:rFonts w:ascii="Cambria" w:hAnsi="Cambria"/>
        </w:rPr>
      </w:pPr>
      <w:r w:rsidRPr="00C33DD3">
        <w:rPr>
          <w:rFonts w:ascii="Cambria" w:hAnsi="Cambria"/>
        </w:rPr>
        <w:t>¿Las actuaciones de seguimiento, negativa de adición, requerimiento de reintegro y ejercicio de acciones judiciales resultan suficientes para descartar una vulneración actual de los derechos colectivos imputable al Ministerio?</w:t>
      </w:r>
    </w:p>
    <w:p w14:paraId="5847F99C" w14:textId="77777777" w:rsidR="00C33DD3" w:rsidRPr="00C33DD3" w:rsidRDefault="00C33DD3" w:rsidP="00C33DD3">
      <w:pPr>
        <w:spacing w:line="276" w:lineRule="auto"/>
        <w:jc w:val="both"/>
        <w:rPr>
          <w:rFonts w:ascii="Cambria" w:hAnsi="Cambria"/>
        </w:rPr>
      </w:pPr>
      <w:r w:rsidRPr="00C33DD3">
        <w:rPr>
          <w:rFonts w:ascii="Cambria" w:hAnsi="Cambria"/>
        </w:rPr>
        <w:t>¿Puede celebrarse un pacto limitado a la protección de los recursos públicos y de la obra existente, sin reactivar un convenio vencido ni asumir nuevas obligaciones presupuestales?</w:t>
      </w:r>
    </w:p>
    <w:p w14:paraId="7EA9939C" w14:textId="77777777" w:rsidR="00C33DD3" w:rsidRPr="00C33DD3" w:rsidRDefault="00C33DD3" w:rsidP="00C33DD3">
      <w:pPr>
        <w:spacing w:line="276" w:lineRule="auto"/>
        <w:jc w:val="both"/>
        <w:rPr>
          <w:rFonts w:ascii="Cambria" w:hAnsi="Cambria"/>
        </w:rPr>
      </w:pPr>
    </w:p>
    <w:p w14:paraId="5AB4F533" w14:textId="75F49930" w:rsidR="00C33DD3" w:rsidRPr="00C33DD3" w:rsidRDefault="00C33DD3" w:rsidP="00C33DD3">
      <w:pPr>
        <w:spacing w:line="276" w:lineRule="auto"/>
        <w:jc w:val="both"/>
        <w:rPr>
          <w:rFonts w:ascii="Cambria" w:hAnsi="Cambria"/>
        </w:rPr>
      </w:pPr>
      <w:r w:rsidRPr="00C33DD3">
        <w:rPr>
          <w:rFonts w:ascii="Cambria" w:hAnsi="Cambria"/>
        </w:rPr>
        <w:t xml:space="preserve">La Secretaría General comparte la recomendación de </w:t>
      </w:r>
      <w:r w:rsidRPr="00C33DD3">
        <w:rPr>
          <w:rFonts w:ascii="Cambria" w:hAnsi="Cambria"/>
          <w:b/>
          <w:bCs/>
        </w:rPr>
        <w:t xml:space="preserve">no presentar ni aceptar una fórmula de pacto de cumplimiento que implique reactivar, prorrogar o adicionar </w:t>
      </w:r>
      <w:r w:rsidRPr="00C33DD3">
        <w:rPr>
          <w:rFonts w:ascii="Cambria" w:hAnsi="Cambria"/>
          <w:b/>
          <w:bCs/>
        </w:rPr>
        <w:lastRenderedPageBreak/>
        <w:t>el Convenio Interadministrativo de Cofinanciación No. 2057 de 2021; comprometer nuevos recursos de FONSECON; asumir la ejecución directa de la obra; o garantizar la terminación de la sede administrativa del municipio de López de Micay</w:t>
      </w:r>
      <w:r w:rsidRPr="00C33DD3">
        <w:rPr>
          <w:rFonts w:ascii="Cambria" w:hAnsi="Cambria"/>
        </w:rPr>
        <w:t>.</w:t>
      </w:r>
    </w:p>
    <w:p w14:paraId="198DF065" w14:textId="77777777" w:rsidR="00500A30" w:rsidRDefault="00500A30" w:rsidP="00C33DD3">
      <w:pPr>
        <w:spacing w:line="276" w:lineRule="auto"/>
        <w:jc w:val="both"/>
        <w:rPr>
          <w:rFonts w:ascii="Cambria" w:hAnsi="Cambria"/>
        </w:rPr>
      </w:pPr>
    </w:p>
    <w:p w14:paraId="6B2F879C" w14:textId="3212E2A7" w:rsidR="00C33DD3" w:rsidRPr="00C33DD3" w:rsidRDefault="00C33DD3" w:rsidP="00C33DD3">
      <w:pPr>
        <w:spacing w:line="276" w:lineRule="auto"/>
        <w:jc w:val="both"/>
        <w:rPr>
          <w:rFonts w:ascii="Cambria" w:hAnsi="Cambria"/>
        </w:rPr>
      </w:pPr>
      <w:r w:rsidRPr="00C33DD3">
        <w:rPr>
          <w:rFonts w:ascii="Cambria" w:hAnsi="Cambria"/>
        </w:rPr>
        <w:t>No obstante, la fundamentación consignada en la ficha debe ser ajustada. No resulta suficientemente sólido alegar la falta absoluta de legitimación material en la causa por pasiva ni el hecho exclusivo de un tercero, dado que el Ministerio del Interior suscribió el convenio, aportó recursos de FONSECON, ejerció su supervisión, intervino en la autorización de la ejecución por etapas y posteriormente adelantó actuaciones para obtener el reintegro de los recursos. Aunque el municipio fue responsable de la contratación y ejecución material de la obra, el Ministerio mantiene una conexión jurídica, financiera y funcional directa con el proyecto.</w:t>
      </w:r>
    </w:p>
    <w:p w14:paraId="7FD4EC90" w14:textId="77777777" w:rsidR="00C33DD3" w:rsidRPr="00C33DD3" w:rsidRDefault="00C33DD3" w:rsidP="00C33DD3">
      <w:pPr>
        <w:spacing w:line="276" w:lineRule="auto"/>
        <w:jc w:val="both"/>
        <w:rPr>
          <w:rFonts w:ascii="Cambria" w:hAnsi="Cambria"/>
        </w:rPr>
      </w:pPr>
    </w:p>
    <w:p w14:paraId="19724AFC" w14:textId="4AB0E884" w:rsidR="00C33DD3" w:rsidRPr="00C33DD3" w:rsidRDefault="00C33DD3" w:rsidP="00C33DD3">
      <w:pPr>
        <w:spacing w:line="276" w:lineRule="auto"/>
        <w:jc w:val="both"/>
        <w:rPr>
          <w:rFonts w:ascii="Cambria" w:hAnsi="Cambria"/>
        </w:rPr>
      </w:pPr>
      <w:r w:rsidRPr="00C33DD3">
        <w:rPr>
          <w:rFonts w:ascii="Cambria" w:hAnsi="Cambria"/>
        </w:rPr>
        <w:t xml:space="preserve">La defensa institucional debe concentrarse en demostrar que </w:t>
      </w:r>
      <w:r w:rsidRPr="00C33DD3">
        <w:rPr>
          <w:rFonts w:ascii="Cambria" w:hAnsi="Cambria"/>
          <w:b/>
          <w:bCs/>
        </w:rPr>
        <w:t>no existió una omisión antijurídica atribuible al Ministerio</w:t>
      </w:r>
      <w:r w:rsidRPr="00C33DD3">
        <w:rPr>
          <w:rFonts w:ascii="Cambria" w:hAnsi="Cambria"/>
        </w:rPr>
        <w:t>, porque este ejerció sus competencias de seguimiento y protección del patrimonio público: negó una adición carente de soporte técnico, formuló requerimientos de reintegro, promovió el medio de control de controversias contractuales y presentó las denuncias correspondientes. Estas actuaciones deben acreditarse documentalmente y relacionarse cronológicamente con el conocimiento de las irregularidades.</w:t>
      </w:r>
    </w:p>
    <w:p w14:paraId="3A3D4A4A" w14:textId="77777777" w:rsidR="00C33DD3" w:rsidRPr="00C33DD3" w:rsidRDefault="00C33DD3" w:rsidP="00C33DD3">
      <w:pPr>
        <w:spacing w:line="276" w:lineRule="auto"/>
        <w:jc w:val="both"/>
        <w:rPr>
          <w:rFonts w:ascii="Cambria" w:hAnsi="Cambria"/>
        </w:rPr>
      </w:pPr>
    </w:p>
    <w:p w14:paraId="50B35AD2" w14:textId="77777777" w:rsidR="00C33DD3" w:rsidRPr="00C33DD3" w:rsidRDefault="00C33DD3" w:rsidP="00C33DD3">
      <w:pPr>
        <w:spacing w:line="276" w:lineRule="auto"/>
        <w:jc w:val="both"/>
        <w:rPr>
          <w:rFonts w:ascii="Cambria" w:hAnsi="Cambria"/>
        </w:rPr>
      </w:pPr>
      <w:r w:rsidRPr="00C33DD3">
        <w:rPr>
          <w:rFonts w:ascii="Cambria" w:hAnsi="Cambria"/>
        </w:rPr>
        <w:t xml:space="preserve">El vencimiento del convenio impide su reactivación, prórroga o adición y excluye la posibilidad de comprometer recursos públicos mediante un instrumento contractual extinguido. Sin embargo, no elimina las obligaciones </w:t>
      </w:r>
      <w:proofErr w:type="spellStart"/>
      <w:r w:rsidRPr="00C33DD3">
        <w:rPr>
          <w:rFonts w:ascii="Cambria" w:hAnsi="Cambria"/>
        </w:rPr>
        <w:t>poscontractuales</w:t>
      </w:r>
      <w:proofErr w:type="spellEnd"/>
      <w:r w:rsidRPr="00C33DD3">
        <w:rPr>
          <w:rFonts w:ascii="Cambria" w:hAnsi="Cambria"/>
        </w:rPr>
        <w:t xml:space="preserve"> de liquidación, recuperación de recursos, efectividad de garantías, determinación de responsabilidades y protección de la infraestructura parcialmente ejecutada.</w:t>
      </w:r>
    </w:p>
    <w:p w14:paraId="319D64F9" w14:textId="77777777" w:rsidR="00C33DD3" w:rsidRPr="00C33DD3" w:rsidRDefault="00C33DD3" w:rsidP="00C33DD3">
      <w:pPr>
        <w:spacing w:line="276" w:lineRule="auto"/>
        <w:jc w:val="both"/>
        <w:rPr>
          <w:rFonts w:ascii="Cambria" w:hAnsi="Cambria"/>
        </w:rPr>
      </w:pPr>
    </w:p>
    <w:p w14:paraId="0BB009C0" w14:textId="77777777" w:rsidR="00C33DD3" w:rsidRPr="00C33DD3" w:rsidRDefault="00C33DD3" w:rsidP="00C33DD3">
      <w:pPr>
        <w:spacing w:line="276" w:lineRule="auto"/>
        <w:jc w:val="both"/>
        <w:rPr>
          <w:rFonts w:ascii="Cambria" w:hAnsi="Cambria"/>
        </w:rPr>
      </w:pPr>
      <w:r w:rsidRPr="00C33DD3">
        <w:rPr>
          <w:rFonts w:ascii="Cambria" w:hAnsi="Cambria"/>
        </w:rPr>
        <w:t xml:space="preserve">La existencia de una controversia contractual tampoco torna improcedente la acción popular, pues esta puede examinar amenazas a la moralidad administrativa y al patrimonio público derivadas de la ejecución de contratos estatales. Por ello, la estrategia no debe descansar en la existencia del otro proceso, sino en delimitar las facultades del juez popular para impedir que sustituya a la Administración, reactive </w:t>
      </w:r>
      <w:r w:rsidRPr="00C33DD3">
        <w:rPr>
          <w:rFonts w:ascii="Cambria" w:hAnsi="Cambria"/>
        </w:rPr>
        <w:lastRenderedPageBreak/>
        <w:t>negocios jurídicos vencidos u ordene gastos carentes de apropiación y planeación presupuestal.</w:t>
      </w:r>
    </w:p>
    <w:p w14:paraId="30AA6A28" w14:textId="77777777" w:rsidR="00C33DD3" w:rsidRPr="00C33DD3" w:rsidRDefault="00C33DD3" w:rsidP="00C33DD3">
      <w:pPr>
        <w:spacing w:line="276" w:lineRule="auto"/>
        <w:jc w:val="both"/>
        <w:rPr>
          <w:rFonts w:ascii="Cambria" w:hAnsi="Cambria"/>
        </w:rPr>
      </w:pPr>
    </w:p>
    <w:p w14:paraId="7B72CDF5" w14:textId="77777777" w:rsidR="00C33DD3" w:rsidRPr="00C33DD3" w:rsidRDefault="00C33DD3" w:rsidP="00C33DD3">
      <w:pPr>
        <w:spacing w:line="276" w:lineRule="auto"/>
        <w:jc w:val="both"/>
        <w:rPr>
          <w:rFonts w:ascii="Cambria" w:hAnsi="Cambria"/>
        </w:rPr>
      </w:pPr>
      <w:r w:rsidRPr="00C33DD3">
        <w:rPr>
          <w:rFonts w:ascii="Cambria" w:hAnsi="Cambria"/>
        </w:rPr>
        <w:t>La valoración probatoria de la ficha también requiere revisión. La existencia del convenio, el desembolso aproximado de $2.888.377.985, las actas de suspensión y reinicio, la demolición de la antigua sede, la paralización de la obra y los requerimientos de reintegro demuestran una afectación objetiva relevante. En consecuencia, la fortaleza probatoria sobre la existencia del problema y la amenaza al patrimonio público es alta, aunque la imputación específica de una conducta vulneradora al Ministerio continúa siendo discutible.</w:t>
      </w:r>
    </w:p>
    <w:p w14:paraId="554CEBA3" w14:textId="77777777" w:rsidR="00C33DD3" w:rsidRPr="00C33DD3" w:rsidRDefault="00C33DD3" w:rsidP="00C33DD3">
      <w:pPr>
        <w:spacing w:line="276" w:lineRule="auto"/>
        <w:jc w:val="both"/>
        <w:rPr>
          <w:rFonts w:ascii="Cambria" w:hAnsi="Cambria"/>
        </w:rPr>
      </w:pPr>
    </w:p>
    <w:p w14:paraId="7E542D95" w14:textId="77777777" w:rsidR="00C33DD3" w:rsidRPr="00C33DD3" w:rsidRDefault="00C33DD3" w:rsidP="00C33DD3">
      <w:pPr>
        <w:spacing w:line="276" w:lineRule="auto"/>
        <w:jc w:val="both"/>
        <w:rPr>
          <w:rFonts w:ascii="Cambria" w:hAnsi="Cambria"/>
        </w:rPr>
      </w:pPr>
      <w:r w:rsidRPr="00C33DD3">
        <w:rPr>
          <w:rFonts w:ascii="Cambria" w:hAnsi="Cambria"/>
        </w:rPr>
        <w:t>Asimismo, debe corregirse el análisis de caducidad: la acción popular no está sometida a un término general de cinco años, sino que puede promoverse mientras subsista la amenaza o vulneración del derecho colectivo. En este caso, la obra inconclusa, el eventual deterioro de la infraestructura y la falta de recuperación integral de los recursos evidencian una situación de posible afectación continuada.</w:t>
      </w:r>
    </w:p>
    <w:p w14:paraId="187FF354" w14:textId="77777777" w:rsidR="00C33DD3" w:rsidRDefault="00C33DD3" w:rsidP="00C33DD3">
      <w:pPr>
        <w:spacing w:line="276" w:lineRule="auto"/>
        <w:jc w:val="both"/>
        <w:rPr>
          <w:rFonts w:ascii="Cambria" w:hAnsi="Cambria"/>
        </w:rPr>
      </w:pPr>
    </w:p>
    <w:p w14:paraId="47DE349F" w14:textId="544D23F8" w:rsidR="00C33DD3" w:rsidRDefault="00C33DD3" w:rsidP="00C33DD3">
      <w:pPr>
        <w:spacing w:line="276" w:lineRule="auto"/>
        <w:jc w:val="both"/>
        <w:rPr>
          <w:rFonts w:ascii="Cambria" w:hAnsi="Cambria"/>
          <w:b/>
          <w:bCs/>
        </w:rPr>
      </w:pPr>
      <w:r w:rsidRPr="00C33DD3">
        <w:rPr>
          <w:rFonts w:ascii="Cambria" w:hAnsi="Cambria"/>
          <w:b/>
          <w:bCs/>
        </w:rPr>
        <w:t>Requerimientos previos a la sesión</w:t>
      </w:r>
      <w:r>
        <w:rPr>
          <w:rFonts w:ascii="Cambria" w:hAnsi="Cambria"/>
          <w:b/>
          <w:bCs/>
        </w:rPr>
        <w:t>:</w:t>
      </w:r>
    </w:p>
    <w:p w14:paraId="650C3EBE" w14:textId="77777777" w:rsidR="00C33DD3" w:rsidRPr="00C33DD3" w:rsidRDefault="00C33DD3" w:rsidP="00C33DD3">
      <w:pPr>
        <w:spacing w:line="276" w:lineRule="auto"/>
        <w:jc w:val="both"/>
        <w:rPr>
          <w:rFonts w:ascii="Cambria" w:hAnsi="Cambria"/>
          <w:b/>
          <w:bCs/>
        </w:rPr>
      </w:pPr>
    </w:p>
    <w:p w14:paraId="3295956C" w14:textId="47900D2E" w:rsidR="00C33DD3" w:rsidRPr="00C33DD3" w:rsidRDefault="00C33DD3" w:rsidP="00C33DD3">
      <w:pPr>
        <w:spacing w:line="276" w:lineRule="auto"/>
        <w:jc w:val="both"/>
        <w:rPr>
          <w:rFonts w:ascii="Cambria" w:hAnsi="Cambria"/>
        </w:rPr>
      </w:pPr>
      <w:r w:rsidRPr="00C33DD3">
        <w:rPr>
          <w:rFonts w:ascii="Cambria" w:hAnsi="Cambria"/>
        </w:rPr>
        <w:t xml:space="preserve">La </w:t>
      </w:r>
      <w:r>
        <w:rPr>
          <w:rFonts w:ascii="Cambria" w:hAnsi="Cambria"/>
        </w:rPr>
        <w:t xml:space="preserve">Dirección jurídica </w:t>
      </w:r>
      <w:r w:rsidRPr="00C33DD3">
        <w:rPr>
          <w:rFonts w:ascii="Cambria" w:hAnsi="Cambria"/>
        </w:rPr>
        <w:t>debería solicitar al apoderado</w:t>
      </w:r>
      <w:r w:rsidR="003237D3">
        <w:rPr>
          <w:rFonts w:ascii="Cambria" w:hAnsi="Cambria"/>
        </w:rPr>
        <w:t xml:space="preserve"> se aclaren dentro de la ficha y para la sesión del comité los siguientes aspectos</w:t>
      </w:r>
      <w:r w:rsidRPr="00C33DD3">
        <w:rPr>
          <w:rFonts w:ascii="Cambria" w:hAnsi="Cambria"/>
        </w:rPr>
        <w:t>:</w:t>
      </w:r>
    </w:p>
    <w:p w14:paraId="2F922C06"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Copia íntegra del convenio y de todas sus modificaciones. </w:t>
      </w:r>
    </w:p>
    <w:p w14:paraId="15AFA937"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Precisión sobre su fecha real de terminación, pues la ficha menciona cobertura hasta el 28 de febrero de 2025 y, en otros apartados, vencimiento el 31 de diciembre de 2025. </w:t>
      </w:r>
    </w:p>
    <w:p w14:paraId="0EFB5DF4"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Estado actual de la liquidación. </w:t>
      </w:r>
    </w:p>
    <w:p w14:paraId="5C500B3E"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Radicado, pretensiones y estado de la controversia contractual. </w:t>
      </w:r>
    </w:p>
    <w:p w14:paraId="05CC2CCF"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Copia y estado de las denuncias penales. </w:t>
      </w:r>
    </w:p>
    <w:p w14:paraId="04DFA82A"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Soporte de los siete requerimientos de reintegro. </w:t>
      </w:r>
    </w:p>
    <w:p w14:paraId="1343181F"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Estado de las garantías y actuaciones para hacerlas efectivas. </w:t>
      </w:r>
    </w:p>
    <w:p w14:paraId="10010DF8"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Informe de supervisión sobre el desembolso de $2.888.377.985. </w:t>
      </w:r>
    </w:p>
    <w:p w14:paraId="1381991F"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Explicación de por qué se autorizó la ejecución por etapas. </w:t>
      </w:r>
    </w:p>
    <w:p w14:paraId="6DDBEC50"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Fecha en que el Ministerio conoció que el municipio había girado recursos al contratista. </w:t>
      </w:r>
    </w:p>
    <w:p w14:paraId="29059FCA"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lastRenderedPageBreak/>
        <w:t xml:space="preserve">Estado físico actual, porcentaje real de ejecución y riesgo de deterioro. </w:t>
      </w:r>
    </w:p>
    <w:p w14:paraId="57CFE36B"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Inventario de recursos aportados, ejecutados, amortizados y pendientes de reintegro. </w:t>
      </w:r>
    </w:p>
    <w:p w14:paraId="5D54744F"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Identificación de las acciones fiscales, disciplinarias y administrativas promovidas. </w:t>
      </w:r>
    </w:p>
    <w:p w14:paraId="0BFEDEE2"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 xml:space="preserve">Incorporación de jurisprudencia aplicable; el apartado “N/A” es insuficiente. </w:t>
      </w:r>
    </w:p>
    <w:p w14:paraId="4BB931F5" w14:textId="77777777" w:rsidR="00C33DD3" w:rsidRPr="00C33DD3" w:rsidRDefault="00C33DD3" w:rsidP="00C33DD3">
      <w:pPr>
        <w:numPr>
          <w:ilvl w:val="0"/>
          <w:numId w:val="2"/>
        </w:numPr>
        <w:spacing w:line="276" w:lineRule="auto"/>
        <w:jc w:val="both"/>
        <w:rPr>
          <w:rFonts w:ascii="Cambria" w:hAnsi="Cambria"/>
        </w:rPr>
      </w:pPr>
      <w:r w:rsidRPr="00C33DD3">
        <w:rPr>
          <w:rFonts w:ascii="Cambria" w:hAnsi="Cambria"/>
        </w:rPr>
        <w:t>Corrección del análisis de caducidad y de la valoración del riesgo.</w:t>
      </w:r>
    </w:p>
    <w:p w14:paraId="6D5C68B8" w14:textId="77777777" w:rsidR="00C33DD3" w:rsidRPr="00C33DD3" w:rsidRDefault="00C33DD3" w:rsidP="00C33DD3">
      <w:pPr>
        <w:spacing w:line="276" w:lineRule="auto"/>
        <w:jc w:val="both"/>
        <w:rPr>
          <w:rFonts w:ascii="Cambria" w:hAnsi="Cambria"/>
        </w:rPr>
      </w:pPr>
    </w:p>
    <w:p w14:paraId="7E659773" w14:textId="77777777" w:rsidR="00C33DD3" w:rsidRPr="00C33DD3" w:rsidRDefault="00C33DD3" w:rsidP="00C33DD3">
      <w:pPr>
        <w:spacing w:line="276" w:lineRule="auto"/>
        <w:jc w:val="both"/>
        <w:rPr>
          <w:rFonts w:ascii="Cambria" w:hAnsi="Cambria"/>
        </w:rPr>
      </w:pPr>
      <w:r w:rsidRPr="00C33DD3">
        <w:rPr>
          <w:rFonts w:ascii="Cambria" w:hAnsi="Cambria"/>
        </w:rPr>
        <w:t xml:space="preserve">El riesgo de que se ordene al Ministerio terminar directamente la obra o aportar nuevos recursos es </w:t>
      </w:r>
      <w:r w:rsidRPr="00C33DD3">
        <w:rPr>
          <w:rFonts w:ascii="Cambria" w:hAnsi="Cambria"/>
          <w:b/>
          <w:bCs/>
        </w:rPr>
        <w:t>bajo</w:t>
      </w:r>
      <w:r w:rsidRPr="00C33DD3">
        <w:rPr>
          <w:rFonts w:ascii="Cambria" w:hAnsi="Cambria"/>
        </w:rPr>
        <w:t xml:space="preserve">. Sin embargo, existe un riesgo </w:t>
      </w:r>
      <w:r w:rsidRPr="00C33DD3">
        <w:rPr>
          <w:rFonts w:ascii="Cambria" w:hAnsi="Cambria"/>
          <w:b/>
          <w:bCs/>
        </w:rPr>
        <w:t>medio o medio-alto</w:t>
      </w:r>
      <w:r w:rsidRPr="00C33DD3">
        <w:rPr>
          <w:rFonts w:ascii="Cambria" w:hAnsi="Cambria"/>
        </w:rPr>
        <w:t xml:space="preserve"> de que el Tribunal le imponga obligaciones de coordinación, liquidación, recuperación de recursos, activación de garantías, elaboración de un plan institucional o presentación de informes periódicos. Por ello, se recomienda modificar la calificación global del riesgo de bajo a </w:t>
      </w:r>
      <w:r w:rsidRPr="00C33DD3">
        <w:rPr>
          <w:rFonts w:ascii="Cambria" w:hAnsi="Cambria"/>
          <w:b/>
          <w:bCs/>
        </w:rPr>
        <w:t>medio</w:t>
      </w:r>
      <w:r w:rsidRPr="00C33DD3">
        <w:rPr>
          <w:rFonts w:ascii="Cambria" w:hAnsi="Cambria"/>
        </w:rPr>
        <w:t>.</w:t>
      </w:r>
    </w:p>
    <w:p w14:paraId="36D2A965" w14:textId="77777777" w:rsidR="00C33DD3" w:rsidRPr="00C33DD3" w:rsidRDefault="00C33DD3" w:rsidP="00C33DD3">
      <w:pPr>
        <w:spacing w:line="276" w:lineRule="auto"/>
        <w:jc w:val="both"/>
        <w:rPr>
          <w:rFonts w:ascii="Cambria" w:hAnsi="Cambria"/>
        </w:rPr>
      </w:pPr>
    </w:p>
    <w:p w14:paraId="1A700D64" w14:textId="77777777" w:rsidR="00C33DD3" w:rsidRPr="00C33DD3" w:rsidRDefault="00C33DD3" w:rsidP="00C33DD3">
      <w:pPr>
        <w:spacing w:line="276" w:lineRule="auto"/>
        <w:jc w:val="both"/>
        <w:rPr>
          <w:rFonts w:ascii="Cambria" w:hAnsi="Cambria"/>
        </w:rPr>
      </w:pPr>
      <w:r w:rsidRPr="00C33DD3">
        <w:rPr>
          <w:rFonts w:ascii="Cambria" w:hAnsi="Cambria"/>
        </w:rPr>
        <w:t>Sin perjuicio de no aceptar las pretensiones estructurales de la demanda, podría evaluarse una fórmula limitada de pacto, sin reconocimiento de responsabilidad ni compromiso de nuevos recursos, orientada a:</w:t>
      </w:r>
    </w:p>
    <w:p w14:paraId="423ECE57" w14:textId="77777777" w:rsidR="00C33DD3" w:rsidRPr="00C33DD3" w:rsidRDefault="00C33DD3" w:rsidP="00C33DD3">
      <w:pPr>
        <w:spacing w:line="276" w:lineRule="auto"/>
        <w:jc w:val="both"/>
        <w:rPr>
          <w:rFonts w:ascii="Cambria" w:hAnsi="Cambria"/>
        </w:rPr>
      </w:pPr>
    </w:p>
    <w:p w14:paraId="57BE7D7C"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Culminar la gestión de liquidación del convenio. </w:t>
      </w:r>
    </w:p>
    <w:p w14:paraId="41E0D4D0"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Continuar las acciones de recuperación de los recursos y sus rendimientos. </w:t>
      </w:r>
    </w:p>
    <w:p w14:paraId="69511670"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Evaluar y hacer efectivas las garantías correspondientes. </w:t>
      </w:r>
    </w:p>
    <w:p w14:paraId="66D6AF96"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Consolidar un informe técnico, jurídico y financiero del proyecto. </w:t>
      </w:r>
    </w:p>
    <w:p w14:paraId="551AF2B8"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Participar en una mesa interinstitucional para establecer el estado de la obra. </w:t>
      </w:r>
    </w:p>
    <w:p w14:paraId="05DE65E6"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Requerir al municipio la adopción de medidas de conservación y aseguramiento de la infraestructura existente. </w:t>
      </w:r>
    </w:p>
    <w:p w14:paraId="3FF7CEFE" w14:textId="77777777" w:rsidR="00C33DD3" w:rsidRPr="00C33DD3" w:rsidRDefault="00C33DD3" w:rsidP="00C33DD3">
      <w:pPr>
        <w:numPr>
          <w:ilvl w:val="0"/>
          <w:numId w:val="1"/>
        </w:numPr>
        <w:spacing w:line="276" w:lineRule="auto"/>
        <w:jc w:val="both"/>
        <w:rPr>
          <w:rFonts w:ascii="Cambria" w:hAnsi="Cambria"/>
        </w:rPr>
      </w:pPr>
      <w:r w:rsidRPr="00C33DD3">
        <w:rPr>
          <w:rFonts w:ascii="Cambria" w:hAnsi="Cambria"/>
        </w:rPr>
        <w:t xml:space="preserve">Mantener informados al Tribunal y a los órganos de control sobre las actuaciones adelantadas. </w:t>
      </w:r>
    </w:p>
    <w:p w14:paraId="5F5513CF" w14:textId="77777777" w:rsidR="00C33DD3" w:rsidRPr="00C33DD3" w:rsidRDefault="00C33DD3" w:rsidP="00C33DD3">
      <w:pPr>
        <w:spacing w:line="276" w:lineRule="auto"/>
        <w:jc w:val="both"/>
        <w:rPr>
          <w:rFonts w:ascii="Cambria" w:hAnsi="Cambria"/>
        </w:rPr>
      </w:pPr>
    </w:p>
    <w:p w14:paraId="20CCC715" w14:textId="7E7EBE3D" w:rsidR="00C33DD3" w:rsidRPr="00C33DD3" w:rsidRDefault="00C33DD3" w:rsidP="00C33DD3">
      <w:pPr>
        <w:spacing w:line="276" w:lineRule="auto"/>
        <w:jc w:val="both"/>
        <w:rPr>
          <w:rFonts w:ascii="Cambria" w:hAnsi="Cambria"/>
        </w:rPr>
      </w:pPr>
      <w:r w:rsidRPr="00C33DD3">
        <w:rPr>
          <w:rFonts w:ascii="Cambria" w:hAnsi="Cambria"/>
        </w:rPr>
        <w:t xml:space="preserve">En conclusión, la recomendación es </w:t>
      </w:r>
      <w:r w:rsidRPr="00C33DD3">
        <w:rPr>
          <w:rFonts w:ascii="Cambria" w:hAnsi="Cambria"/>
          <w:b/>
          <w:bCs/>
        </w:rPr>
        <w:t>no pactar la reactivación del convenio, la terminación directa de la obra ni el aporte de nuevos recursos</w:t>
      </w:r>
      <w:r w:rsidRPr="00C33DD3">
        <w:rPr>
          <w:rFonts w:ascii="Cambria" w:hAnsi="Cambria"/>
        </w:rPr>
        <w:t xml:space="preserve">, pero sí valorar compromisos limitados de gestión </w:t>
      </w:r>
      <w:proofErr w:type="spellStart"/>
      <w:r w:rsidRPr="00C33DD3">
        <w:rPr>
          <w:rFonts w:ascii="Cambria" w:hAnsi="Cambria"/>
        </w:rPr>
        <w:t>poscontractual</w:t>
      </w:r>
      <w:proofErr w:type="spellEnd"/>
      <w:r w:rsidRPr="00C33DD3">
        <w:rPr>
          <w:rFonts w:ascii="Cambria" w:hAnsi="Cambria"/>
        </w:rPr>
        <w:t xml:space="preserve">, recuperación del patrimonio público y coordinación institucional. Esta posición protege el erario, reconoce la competencia </w:t>
      </w:r>
      <w:r w:rsidRPr="00C33DD3">
        <w:rPr>
          <w:rFonts w:ascii="Cambria" w:hAnsi="Cambria"/>
        </w:rPr>
        <w:lastRenderedPageBreak/>
        <w:t>real del Ministerio y evita que una negativa absoluta sea interpretada como desatención frente a una problemática objetiva y aún vigente.</w:t>
      </w:r>
    </w:p>
    <w:p w14:paraId="3F19576E" w14:textId="77777777" w:rsidR="00DC4DBE" w:rsidRDefault="00DC4DBE" w:rsidP="00DC4DBE">
      <w:pPr>
        <w:spacing w:line="276" w:lineRule="auto"/>
        <w:jc w:val="both"/>
      </w:pPr>
    </w:p>
    <w:p w14:paraId="1CA2D350" w14:textId="77777777" w:rsidR="003237D3" w:rsidRDefault="003237D3" w:rsidP="00350A6D">
      <w:pPr>
        <w:spacing w:line="276" w:lineRule="auto"/>
        <w:jc w:val="both"/>
        <w:rPr>
          <w:rFonts w:ascii="Cambria" w:hAnsi="Cambria"/>
          <w:b/>
          <w:bCs/>
          <w:sz w:val="28"/>
          <w:szCs w:val="28"/>
        </w:rPr>
      </w:pPr>
    </w:p>
    <w:p w14:paraId="3B2BA291" w14:textId="77777777" w:rsidR="003237D3" w:rsidRDefault="003237D3" w:rsidP="00350A6D">
      <w:pPr>
        <w:spacing w:line="276" w:lineRule="auto"/>
        <w:jc w:val="both"/>
        <w:rPr>
          <w:rFonts w:ascii="Cambria" w:hAnsi="Cambria"/>
          <w:b/>
          <w:bCs/>
          <w:sz w:val="28"/>
          <w:szCs w:val="28"/>
        </w:rPr>
      </w:pPr>
    </w:p>
    <w:p w14:paraId="1F42F522" w14:textId="77777777" w:rsidR="003237D3" w:rsidRDefault="003237D3" w:rsidP="00350A6D">
      <w:pPr>
        <w:spacing w:line="276" w:lineRule="auto"/>
        <w:jc w:val="both"/>
        <w:rPr>
          <w:rFonts w:ascii="Cambria" w:hAnsi="Cambria"/>
          <w:b/>
          <w:bCs/>
          <w:sz w:val="28"/>
          <w:szCs w:val="28"/>
        </w:rPr>
      </w:pPr>
    </w:p>
    <w:p w14:paraId="5B07A960" w14:textId="77777777" w:rsidR="003237D3" w:rsidRDefault="003237D3" w:rsidP="00350A6D">
      <w:pPr>
        <w:spacing w:line="276" w:lineRule="auto"/>
        <w:jc w:val="both"/>
        <w:rPr>
          <w:rFonts w:ascii="Cambria" w:hAnsi="Cambria"/>
          <w:b/>
          <w:bCs/>
          <w:sz w:val="28"/>
          <w:szCs w:val="28"/>
        </w:rPr>
      </w:pPr>
    </w:p>
    <w:p w14:paraId="38336A57" w14:textId="77777777" w:rsidR="003237D3" w:rsidRDefault="003237D3" w:rsidP="00350A6D">
      <w:pPr>
        <w:spacing w:line="276" w:lineRule="auto"/>
        <w:jc w:val="both"/>
        <w:rPr>
          <w:rFonts w:ascii="Cambria" w:hAnsi="Cambria"/>
          <w:b/>
          <w:bCs/>
          <w:sz w:val="28"/>
          <w:szCs w:val="28"/>
        </w:rPr>
      </w:pPr>
    </w:p>
    <w:p w14:paraId="76FA1688" w14:textId="77777777" w:rsidR="003237D3" w:rsidRDefault="003237D3" w:rsidP="00350A6D">
      <w:pPr>
        <w:spacing w:line="276" w:lineRule="auto"/>
        <w:jc w:val="both"/>
        <w:rPr>
          <w:rFonts w:ascii="Cambria" w:hAnsi="Cambria"/>
          <w:b/>
          <w:bCs/>
          <w:sz w:val="28"/>
          <w:szCs w:val="28"/>
        </w:rPr>
      </w:pPr>
    </w:p>
    <w:p w14:paraId="5F890955" w14:textId="77777777" w:rsidR="003237D3" w:rsidRDefault="003237D3" w:rsidP="00350A6D">
      <w:pPr>
        <w:spacing w:line="276" w:lineRule="auto"/>
        <w:jc w:val="both"/>
        <w:rPr>
          <w:rFonts w:ascii="Cambria" w:hAnsi="Cambria"/>
          <w:b/>
          <w:bCs/>
          <w:sz w:val="28"/>
          <w:szCs w:val="28"/>
        </w:rPr>
      </w:pPr>
    </w:p>
    <w:p w14:paraId="2911042F" w14:textId="77777777" w:rsidR="003237D3" w:rsidRDefault="003237D3" w:rsidP="00350A6D">
      <w:pPr>
        <w:spacing w:line="276" w:lineRule="auto"/>
        <w:jc w:val="both"/>
        <w:rPr>
          <w:rFonts w:ascii="Cambria" w:hAnsi="Cambria"/>
          <w:b/>
          <w:bCs/>
          <w:sz w:val="28"/>
          <w:szCs w:val="28"/>
        </w:rPr>
      </w:pPr>
    </w:p>
    <w:p w14:paraId="2DAEF068" w14:textId="77777777" w:rsidR="003237D3" w:rsidRDefault="003237D3" w:rsidP="00350A6D">
      <w:pPr>
        <w:spacing w:line="276" w:lineRule="auto"/>
        <w:jc w:val="both"/>
        <w:rPr>
          <w:rFonts w:ascii="Cambria" w:hAnsi="Cambria"/>
          <w:b/>
          <w:bCs/>
          <w:sz w:val="28"/>
          <w:szCs w:val="28"/>
        </w:rPr>
      </w:pPr>
    </w:p>
    <w:p w14:paraId="42B1261B" w14:textId="77777777" w:rsidR="003237D3" w:rsidRDefault="003237D3" w:rsidP="00350A6D">
      <w:pPr>
        <w:spacing w:line="276" w:lineRule="auto"/>
        <w:jc w:val="both"/>
        <w:rPr>
          <w:rFonts w:ascii="Cambria" w:hAnsi="Cambria"/>
          <w:b/>
          <w:bCs/>
          <w:sz w:val="28"/>
          <w:szCs w:val="28"/>
        </w:rPr>
      </w:pPr>
    </w:p>
    <w:p w14:paraId="72BC355A" w14:textId="77777777" w:rsidR="003237D3" w:rsidRDefault="003237D3" w:rsidP="00350A6D">
      <w:pPr>
        <w:spacing w:line="276" w:lineRule="auto"/>
        <w:jc w:val="both"/>
        <w:rPr>
          <w:rFonts w:ascii="Cambria" w:hAnsi="Cambria"/>
          <w:b/>
          <w:bCs/>
          <w:sz w:val="28"/>
          <w:szCs w:val="28"/>
        </w:rPr>
      </w:pPr>
    </w:p>
    <w:p w14:paraId="76003397" w14:textId="77777777" w:rsidR="003237D3" w:rsidRDefault="003237D3" w:rsidP="00350A6D">
      <w:pPr>
        <w:spacing w:line="276" w:lineRule="auto"/>
        <w:jc w:val="both"/>
        <w:rPr>
          <w:rFonts w:ascii="Cambria" w:hAnsi="Cambria"/>
          <w:b/>
          <w:bCs/>
          <w:sz w:val="28"/>
          <w:szCs w:val="28"/>
        </w:rPr>
      </w:pPr>
    </w:p>
    <w:p w14:paraId="1B1CE8F5" w14:textId="77777777" w:rsidR="003237D3" w:rsidRDefault="003237D3" w:rsidP="00350A6D">
      <w:pPr>
        <w:spacing w:line="276" w:lineRule="auto"/>
        <w:jc w:val="both"/>
        <w:rPr>
          <w:rFonts w:ascii="Cambria" w:hAnsi="Cambria"/>
          <w:b/>
          <w:bCs/>
          <w:sz w:val="28"/>
          <w:szCs w:val="28"/>
        </w:rPr>
      </w:pPr>
    </w:p>
    <w:p w14:paraId="0E01F0BE" w14:textId="77777777" w:rsidR="003237D3" w:rsidRDefault="003237D3" w:rsidP="00350A6D">
      <w:pPr>
        <w:spacing w:line="276" w:lineRule="auto"/>
        <w:jc w:val="both"/>
        <w:rPr>
          <w:rFonts w:ascii="Cambria" w:hAnsi="Cambria"/>
          <w:b/>
          <w:bCs/>
          <w:sz w:val="28"/>
          <w:szCs w:val="28"/>
        </w:rPr>
      </w:pPr>
    </w:p>
    <w:p w14:paraId="166EA85A" w14:textId="77777777" w:rsidR="003237D3" w:rsidRDefault="003237D3" w:rsidP="00350A6D">
      <w:pPr>
        <w:spacing w:line="276" w:lineRule="auto"/>
        <w:jc w:val="both"/>
        <w:rPr>
          <w:rFonts w:ascii="Cambria" w:hAnsi="Cambria"/>
          <w:b/>
          <w:bCs/>
          <w:sz w:val="28"/>
          <w:szCs w:val="28"/>
        </w:rPr>
      </w:pPr>
    </w:p>
    <w:p w14:paraId="7EF9B222" w14:textId="77777777" w:rsidR="003237D3" w:rsidRDefault="003237D3" w:rsidP="00350A6D">
      <w:pPr>
        <w:spacing w:line="276" w:lineRule="auto"/>
        <w:jc w:val="both"/>
        <w:rPr>
          <w:rFonts w:ascii="Cambria" w:hAnsi="Cambria"/>
          <w:b/>
          <w:bCs/>
          <w:sz w:val="28"/>
          <w:szCs w:val="28"/>
        </w:rPr>
      </w:pPr>
    </w:p>
    <w:p w14:paraId="794B4CDD" w14:textId="77777777" w:rsidR="003237D3" w:rsidRDefault="003237D3" w:rsidP="00350A6D">
      <w:pPr>
        <w:spacing w:line="276" w:lineRule="auto"/>
        <w:jc w:val="both"/>
        <w:rPr>
          <w:rFonts w:ascii="Cambria" w:hAnsi="Cambria"/>
          <w:b/>
          <w:bCs/>
          <w:sz w:val="28"/>
          <w:szCs w:val="28"/>
        </w:rPr>
      </w:pPr>
    </w:p>
    <w:p w14:paraId="59670C67" w14:textId="77777777" w:rsidR="003237D3" w:rsidRDefault="003237D3" w:rsidP="00350A6D">
      <w:pPr>
        <w:spacing w:line="276" w:lineRule="auto"/>
        <w:jc w:val="both"/>
        <w:rPr>
          <w:rFonts w:ascii="Cambria" w:hAnsi="Cambria"/>
          <w:b/>
          <w:bCs/>
          <w:sz w:val="28"/>
          <w:szCs w:val="28"/>
        </w:rPr>
      </w:pPr>
    </w:p>
    <w:p w14:paraId="61454328" w14:textId="77777777" w:rsidR="003237D3" w:rsidRDefault="003237D3" w:rsidP="00350A6D">
      <w:pPr>
        <w:spacing w:line="276" w:lineRule="auto"/>
        <w:jc w:val="both"/>
        <w:rPr>
          <w:rFonts w:ascii="Cambria" w:hAnsi="Cambria"/>
          <w:b/>
          <w:bCs/>
          <w:sz w:val="28"/>
          <w:szCs w:val="28"/>
        </w:rPr>
      </w:pPr>
    </w:p>
    <w:p w14:paraId="3C5D7B5D" w14:textId="77777777" w:rsidR="003237D3" w:rsidRDefault="003237D3" w:rsidP="00350A6D">
      <w:pPr>
        <w:spacing w:line="276" w:lineRule="auto"/>
        <w:jc w:val="both"/>
        <w:rPr>
          <w:rFonts w:ascii="Cambria" w:hAnsi="Cambria"/>
          <w:b/>
          <w:bCs/>
          <w:sz w:val="28"/>
          <w:szCs w:val="28"/>
        </w:rPr>
      </w:pPr>
    </w:p>
    <w:p w14:paraId="1CCD7995" w14:textId="77777777" w:rsidR="003237D3" w:rsidRDefault="003237D3" w:rsidP="00350A6D">
      <w:pPr>
        <w:spacing w:line="276" w:lineRule="auto"/>
        <w:jc w:val="both"/>
        <w:rPr>
          <w:rFonts w:ascii="Cambria" w:hAnsi="Cambria"/>
          <w:b/>
          <w:bCs/>
          <w:sz w:val="28"/>
          <w:szCs w:val="28"/>
        </w:rPr>
      </w:pPr>
    </w:p>
    <w:p w14:paraId="437356BE" w14:textId="77777777" w:rsidR="003237D3" w:rsidRDefault="003237D3" w:rsidP="00350A6D">
      <w:pPr>
        <w:spacing w:line="276" w:lineRule="auto"/>
        <w:jc w:val="both"/>
        <w:rPr>
          <w:rFonts w:ascii="Cambria" w:hAnsi="Cambria"/>
          <w:b/>
          <w:bCs/>
          <w:sz w:val="28"/>
          <w:szCs w:val="28"/>
        </w:rPr>
      </w:pPr>
    </w:p>
    <w:p w14:paraId="6399C6BD" w14:textId="77777777" w:rsidR="003237D3" w:rsidRDefault="003237D3" w:rsidP="00350A6D">
      <w:pPr>
        <w:spacing w:line="276" w:lineRule="auto"/>
        <w:jc w:val="both"/>
        <w:rPr>
          <w:rFonts w:ascii="Cambria" w:hAnsi="Cambria"/>
          <w:b/>
          <w:bCs/>
          <w:sz w:val="28"/>
          <w:szCs w:val="28"/>
        </w:rPr>
      </w:pPr>
    </w:p>
    <w:p w14:paraId="0AC3CF76" w14:textId="77777777" w:rsidR="003237D3" w:rsidRDefault="003237D3" w:rsidP="00350A6D">
      <w:pPr>
        <w:spacing w:line="276" w:lineRule="auto"/>
        <w:jc w:val="both"/>
        <w:rPr>
          <w:rFonts w:ascii="Cambria" w:hAnsi="Cambria"/>
          <w:b/>
          <w:bCs/>
          <w:sz w:val="28"/>
          <w:szCs w:val="28"/>
        </w:rPr>
      </w:pPr>
    </w:p>
    <w:p w14:paraId="6AB6545B" w14:textId="77777777" w:rsidR="003237D3" w:rsidRDefault="003237D3" w:rsidP="00350A6D">
      <w:pPr>
        <w:spacing w:line="276" w:lineRule="auto"/>
        <w:jc w:val="both"/>
        <w:rPr>
          <w:rFonts w:ascii="Cambria" w:hAnsi="Cambria"/>
          <w:b/>
          <w:bCs/>
          <w:sz w:val="28"/>
          <w:szCs w:val="28"/>
        </w:rPr>
      </w:pPr>
    </w:p>
    <w:p w14:paraId="776FFA89" w14:textId="77777777" w:rsidR="003237D3" w:rsidRDefault="003237D3" w:rsidP="00350A6D">
      <w:pPr>
        <w:spacing w:line="276" w:lineRule="auto"/>
        <w:jc w:val="both"/>
        <w:rPr>
          <w:rFonts w:ascii="Cambria" w:hAnsi="Cambria"/>
          <w:b/>
          <w:bCs/>
          <w:sz w:val="28"/>
          <w:szCs w:val="28"/>
        </w:rPr>
      </w:pPr>
    </w:p>
    <w:p w14:paraId="6A1DE93C" w14:textId="77777777" w:rsidR="003237D3" w:rsidRDefault="003237D3" w:rsidP="00350A6D">
      <w:pPr>
        <w:spacing w:line="276" w:lineRule="auto"/>
        <w:jc w:val="both"/>
        <w:rPr>
          <w:rFonts w:ascii="Cambria" w:hAnsi="Cambria"/>
          <w:b/>
          <w:bCs/>
          <w:sz w:val="28"/>
          <w:szCs w:val="28"/>
        </w:rPr>
      </w:pPr>
    </w:p>
    <w:p w14:paraId="5344376F" w14:textId="5C6A130D" w:rsidR="00350A6D" w:rsidRPr="00352A80" w:rsidRDefault="00350A6D" w:rsidP="00350A6D">
      <w:pPr>
        <w:spacing w:line="276" w:lineRule="auto"/>
        <w:jc w:val="both"/>
        <w:rPr>
          <w:rFonts w:ascii="Cambria" w:hAnsi="Cambria"/>
          <w:sz w:val="28"/>
          <w:szCs w:val="28"/>
        </w:rPr>
      </w:pPr>
      <w:r w:rsidRPr="00352A80">
        <w:rPr>
          <w:rFonts w:ascii="Cambria" w:hAnsi="Cambria"/>
          <w:b/>
          <w:bCs/>
          <w:sz w:val="28"/>
          <w:szCs w:val="28"/>
        </w:rPr>
        <w:lastRenderedPageBreak/>
        <w:t>Ficha No. 3 – 406677 – Jaime Jusep Zuluaga Giraldo –</w:t>
      </w:r>
      <w:r w:rsidR="008B4C52">
        <w:rPr>
          <w:rFonts w:ascii="Cambria" w:hAnsi="Cambria"/>
          <w:b/>
          <w:bCs/>
          <w:sz w:val="28"/>
          <w:szCs w:val="28"/>
        </w:rPr>
        <w:t xml:space="preserve"> Acción</w:t>
      </w:r>
      <w:r w:rsidRPr="00352A80">
        <w:rPr>
          <w:rFonts w:ascii="Cambria" w:hAnsi="Cambria"/>
          <w:b/>
          <w:bCs/>
          <w:sz w:val="28"/>
          <w:szCs w:val="28"/>
        </w:rPr>
        <w:t xml:space="preserve"> Agua potable en resguardos indígenas de Marsella</w:t>
      </w:r>
      <w:r w:rsidR="008B4C52">
        <w:rPr>
          <w:rFonts w:ascii="Cambria" w:hAnsi="Cambria"/>
          <w:b/>
          <w:bCs/>
          <w:sz w:val="28"/>
          <w:szCs w:val="28"/>
        </w:rPr>
        <w:t>- Risaralda</w:t>
      </w:r>
      <w:r w:rsidR="00500A30">
        <w:rPr>
          <w:rFonts w:ascii="Cambria" w:hAnsi="Cambria"/>
          <w:b/>
          <w:bCs/>
          <w:sz w:val="28"/>
          <w:szCs w:val="28"/>
        </w:rPr>
        <w:t>:</w:t>
      </w:r>
    </w:p>
    <w:p w14:paraId="1CDC869A" w14:textId="77777777" w:rsidR="00350A6D" w:rsidRPr="00350A6D" w:rsidRDefault="00350A6D" w:rsidP="00350A6D">
      <w:pPr>
        <w:spacing w:line="276" w:lineRule="auto"/>
        <w:jc w:val="both"/>
        <w:rPr>
          <w:rFonts w:ascii="Cambria" w:hAnsi="Cambria"/>
        </w:rPr>
      </w:pPr>
    </w:p>
    <w:p w14:paraId="054379EB" w14:textId="7B0F8133" w:rsidR="00350A6D" w:rsidRPr="00350A6D" w:rsidRDefault="00350A6D" w:rsidP="00350A6D">
      <w:pPr>
        <w:spacing w:line="276" w:lineRule="auto"/>
        <w:jc w:val="both"/>
        <w:rPr>
          <w:rFonts w:ascii="Cambria" w:hAnsi="Cambria"/>
        </w:rPr>
      </w:pPr>
      <w:r w:rsidRPr="00350A6D">
        <w:rPr>
          <w:rFonts w:ascii="Cambria" w:hAnsi="Cambria"/>
        </w:rPr>
        <w:t xml:space="preserve">La acción popular pretende la protección de los derechos colectivos al ambiente sano, la seguridad y salubridad públicas, el acceso a infraestructura de servicios y la prestación eficiente y oportuna del servicio de agua potable en los resguardos indígenas </w:t>
      </w:r>
      <w:proofErr w:type="spellStart"/>
      <w:r w:rsidRPr="00350A6D">
        <w:rPr>
          <w:rFonts w:ascii="Cambria" w:hAnsi="Cambria"/>
        </w:rPr>
        <w:t>Suratena</w:t>
      </w:r>
      <w:proofErr w:type="spellEnd"/>
      <w:r w:rsidRPr="00350A6D">
        <w:rPr>
          <w:rFonts w:ascii="Cambria" w:hAnsi="Cambria"/>
        </w:rPr>
        <w:t xml:space="preserve">, Alto Mira y </w:t>
      </w:r>
      <w:proofErr w:type="spellStart"/>
      <w:r w:rsidRPr="00350A6D">
        <w:rPr>
          <w:rFonts w:ascii="Cambria" w:hAnsi="Cambria"/>
        </w:rPr>
        <w:t>Kurmado</w:t>
      </w:r>
      <w:proofErr w:type="spellEnd"/>
      <w:r w:rsidRPr="00350A6D">
        <w:rPr>
          <w:rFonts w:ascii="Cambria" w:hAnsi="Cambria"/>
        </w:rPr>
        <w:t>, ubicados en Marsella, Risaralda.</w:t>
      </w:r>
    </w:p>
    <w:p w14:paraId="1EBBE0A4" w14:textId="77777777" w:rsidR="00350A6D" w:rsidRPr="00350A6D" w:rsidRDefault="00350A6D" w:rsidP="00350A6D">
      <w:pPr>
        <w:spacing w:line="276" w:lineRule="auto"/>
        <w:jc w:val="both"/>
        <w:rPr>
          <w:rFonts w:ascii="Cambria" w:hAnsi="Cambria"/>
        </w:rPr>
      </w:pPr>
    </w:p>
    <w:p w14:paraId="08A8E159" w14:textId="77777777" w:rsidR="00350A6D" w:rsidRPr="00350A6D" w:rsidRDefault="00350A6D" w:rsidP="00350A6D">
      <w:pPr>
        <w:spacing w:line="276" w:lineRule="auto"/>
        <w:jc w:val="both"/>
        <w:rPr>
          <w:rFonts w:ascii="Cambria" w:hAnsi="Cambria"/>
        </w:rPr>
      </w:pPr>
      <w:r w:rsidRPr="00350A6D">
        <w:rPr>
          <w:rFonts w:ascii="Cambria" w:hAnsi="Cambria"/>
        </w:rPr>
        <w:t>Según la demanda, diferentes sectores de estas comunidades consumen agua cruda, sin tratamiento o no apta para el consumo humano. La situación afectaría a niños, adultos mayores, mujeres gestantes, personas con discapacidad y a los estudiantes de dos centros educativos indígenas. El municipio certificó que no dispone de recursos suficientes para construir los sistemas requeridos y la parte actora solicita la concurrencia técnica y financiera de entidades municipales, departamentales y nacionales.</w:t>
      </w:r>
    </w:p>
    <w:p w14:paraId="75711C7B" w14:textId="77777777" w:rsidR="00350A6D" w:rsidRPr="00350A6D" w:rsidRDefault="00350A6D" w:rsidP="00350A6D">
      <w:pPr>
        <w:spacing w:line="276" w:lineRule="auto"/>
        <w:jc w:val="both"/>
        <w:rPr>
          <w:rFonts w:ascii="Cambria" w:hAnsi="Cambria"/>
        </w:rPr>
      </w:pPr>
    </w:p>
    <w:p w14:paraId="51D9D6EB" w14:textId="28A5A329" w:rsidR="00350A6D" w:rsidRPr="00350A6D" w:rsidRDefault="00350A6D" w:rsidP="00350A6D">
      <w:pPr>
        <w:spacing w:line="276" w:lineRule="auto"/>
        <w:jc w:val="both"/>
        <w:rPr>
          <w:rFonts w:ascii="Cambria" w:hAnsi="Cambria"/>
        </w:rPr>
      </w:pPr>
      <w:r w:rsidRPr="00350A6D">
        <w:rPr>
          <w:rFonts w:ascii="Cambria" w:hAnsi="Cambria"/>
        </w:rPr>
        <w:t>El apoderado recomienda no presentar ni aceptar fórmula de pacto de cumplimiento, al considerar que el Ministerio del Interior carece de competencia para estructurar, financiar o ejecutar proyectos de agua potable y saneamiento básico.</w:t>
      </w:r>
    </w:p>
    <w:p w14:paraId="38F62468" w14:textId="77777777" w:rsidR="00350A6D" w:rsidRPr="00350A6D" w:rsidRDefault="00350A6D" w:rsidP="00350A6D">
      <w:pPr>
        <w:spacing w:line="276" w:lineRule="auto"/>
        <w:jc w:val="both"/>
        <w:rPr>
          <w:rFonts w:ascii="Cambria" w:hAnsi="Cambria"/>
          <w:b/>
        </w:rPr>
      </w:pPr>
    </w:p>
    <w:p w14:paraId="2D16C911" w14:textId="246B2132" w:rsidR="00350A6D" w:rsidRDefault="00350A6D" w:rsidP="00350A6D">
      <w:pPr>
        <w:spacing w:line="276" w:lineRule="auto"/>
        <w:jc w:val="both"/>
        <w:rPr>
          <w:rFonts w:ascii="Cambria" w:hAnsi="Cambria"/>
          <w:b/>
        </w:rPr>
      </w:pPr>
      <w:r w:rsidRPr="00350A6D">
        <w:rPr>
          <w:rFonts w:ascii="Cambria" w:hAnsi="Cambria"/>
          <w:b/>
        </w:rPr>
        <w:t>Problemas jurídicos que deben complementarse</w:t>
      </w:r>
      <w:r w:rsidR="00500A30">
        <w:rPr>
          <w:rFonts w:ascii="Cambria" w:hAnsi="Cambria"/>
          <w:b/>
        </w:rPr>
        <w:t xml:space="preserve"> en la ficha:</w:t>
      </w:r>
    </w:p>
    <w:p w14:paraId="2505C7FC" w14:textId="77777777" w:rsidR="00500A30" w:rsidRPr="00350A6D" w:rsidRDefault="00500A30" w:rsidP="00350A6D">
      <w:pPr>
        <w:spacing w:line="276" w:lineRule="auto"/>
        <w:jc w:val="both"/>
        <w:rPr>
          <w:rFonts w:ascii="Cambria" w:hAnsi="Cambria"/>
          <w:b/>
        </w:rPr>
      </w:pPr>
    </w:p>
    <w:p w14:paraId="5E2C66E4" w14:textId="77777777" w:rsidR="00350A6D" w:rsidRPr="00350A6D" w:rsidRDefault="00350A6D" w:rsidP="00350A6D">
      <w:pPr>
        <w:spacing w:line="276" w:lineRule="auto"/>
        <w:jc w:val="both"/>
        <w:rPr>
          <w:rFonts w:ascii="Cambria" w:hAnsi="Cambria"/>
        </w:rPr>
      </w:pPr>
      <w:r w:rsidRPr="00350A6D">
        <w:rPr>
          <w:rFonts w:ascii="Cambria" w:hAnsi="Cambria"/>
          <w:i/>
        </w:rPr>
        <w:t xml:space="preserve">¿Existe una amenaza o vulneración actual de los derechos colectivos de las comunidades indígenas de </w:t>
      </w:r>
      <w:proofErr w:type="spellStart"/>
      <w:r w:rsidRPr="00350A6D">
        <w:rPr>
          <w:rFonts w:ascii="Cambria" w:hAnsi="Cambria"/>
          <w:i/>
        </w:rPr>
        <w:t>Suratena</w:t>
      </w:r>
      <w:proofErr w:type="spellEnd"/>
      <w:r w:rsidRPr="00350A6D">
        <w:rPr>
          <w:rFonts w:ascii="Cambria" w:hAnsi="Cambria"/>
          <w:i/>
        </w:rPr>
        <w:t xml:space="preserve">, Alto Mira y </w:t>
      </w:r>
      <w:proofErr w:type="spellStart"/>
      <w:r w:rsidRPr="00350A6D">
        <w:rPr>
          <w:rFonts w:ascii="Cambria" w:hAnsi="Cambria"/>
          <w:i/>
        </w:rPr>
        <w:t>Kurmado</w:t>
      </w:r>
      <w:proofErr w:type="spellEnd"/>
      <w:r w:rsidRPr="00350A6D">
        <w:rPr>
          <w:rFonts w:ascii="Cambria" w:hAnsi="Cambria"/>
          <w:i/>
        </w:rPr>
        <w:t>, derivada del suministro o consumo de agua sin tratamiento y no apta para el consumo humano?</w:t>
      </w:r>
    </w:p>
    <w:p w14:paraId="6874313C" w14:textId="77777777" w:rsidR="00350A6D" w:rsidRPr="00350A6D" w:rsidRDefault="00350A6D" w:rsidP="00350A6D">
      <w:pPr>
        <w:spacing w:line="276" w:lineRule="auto"/>
        <w:jc w:val="both"/>
        <w:rPr>
          <w:rFonts w:ascii="Cambria" w:hAnsi="Cambria"/>
        </w:rPr>
      </w:pPr>
      <w:r w:rsidRPr="00350A6D">
        <w:rPr>
          <w:rFonts w:ascii="Cambria" w:hAnsi="Cambria"/>
          <w:i/>
        </w:rPr>
        <w:t>¿Tiene el Ministerio del Interior competencia para estructurar, financiar, contratar u operar sistemas de acueducto y tratamiento de agua potable en estas comunidades?</w:t>
      </w:r>
    </w:p>
    <w:p w14:paraId="4C91C707" w14:textId="77777777" w:rsidR="00350A6D" w:rsidRPr="00350A6D" w:rsidRDefault="00350A6D" w:rsidP="00350A6D">
      <w:pPr>
        <w:spacing w:line="276" w:lineRule="auto"/>
        <w:jc w:val="both"/>
        <w:rPr>
          <w:rFonts w:ascii="Cambria" w:hAnsi="Cambria"/>
        </w:rPr>
      </w:pPr>
      <w:r w:rsidRPr="00350A6D">
        <w:rPr>
          <w:rFonts w:ascii="Cambria" w:hAnsi="Cambria"/>
          <w:i/>
        </w:rPr>
        <w:t>¿Las funciones de concertación, diálogo y coordinación interinstitucional de la Dirección de Asuntos Indígenas, Rom y Minorías pueden sustentar una orden limitada de articulación, sin convertir al Ministerio en ejecutor o financiador de la infraestructura hídrica?</w:t>
      </w:r>
    </w:p>
    <w:p w14:paraId="786AB7B8" w14:textId="77777777" w:rsidR="00350A6D" w:rsidRPr="00350A6D" w:rsidRDefault="00350A6D" w:rsidP="00350A6D">
      <w:pPr>
        <w:spacing w:line="276" w:lineRule="auto"/>
        <w:jc w:val="both"/>
        <w:rPr>
          <w:rFonts w:ascii="Cambria" w:hAnsi="Cambria"/>
          <w:b/>
        </w:rPr>
      </w:pPr>
    </w:p>
    <w:p w14:paraId="379803AB" w14:textId="5E9239A6" w:rsidR="00350A6D" w:rsidRPr="00350A6D" w:rsidRDefault="00350A6D" w:rsidP="00350A6D">
      <w:pPr>
        <w:spacing w:line="276" w:lineRule="auto"/>
        <w:jc w:val="both"/>
        <w:rPr>
          <w:rFonts w:ascii="Cambria" w:hAnsi="Cambria"/>
          <w:b/>
        </w:rPr>
      </w:pPr>
      <w:r w:rsidRPr="00350A6D">
        <w:rPr>
          <w:rFonts w:ascii="Cambria" w:hAnsi="Cambria"/>
          <w:b/>
        </w:rPr>
        <w:t>Análisis de la Secretaría General</w:t>
      </w:r>
      <w:r w:rsidRPr="00350A6D">
        <w:rPr>
          <w:rFonts w:ascii="Cambria" w:hAnsi="Cambria"/>
          <w:b/>
        </w:rPr>
        <w:t xml:space="preserve">: </w:t>
      </w:r>
      <w:r w:rsidRPr="00350A6D">
        <w:rPr>
          <w:rFonts w:ascii="Cambria" w:hAnsi="Cambria"/>
        </w:rPr>
        <w:t xml:space="preserve">La competencia directa para asegurar la prestación eficiente de los servicios de acueducto y saneamiento básico corresponde </w:t>
      </w:r>
      <w:r w:rsidRPr="00350A6D">
        <w:rPr>
          <w:rFonts w:ascii="Cambria" w:hAnsi="Cambria"/>
        </w:rPr>
        <w:lastRenderedPageBreak/>
        <w:t>principalmente al municipio, con funciones concurrentes del departamento y de las entidades del sector de agua potable. El Ministerio del Interior no tiene competencia para diseñar, construir u operar acueductos, prestar el servicio, certificar la calidad del agua ni financiar obligatoriamente infraestructura sectorial. En este aspecto, la defensa por falta de legitimación material cuenta con fundamento frente a las pretensiones de ejecución y financiación directa.</w:t>
      </w:r>
    </w:p>
    <w:p w14:paraId="4D18B22F" w14:textId="77777777" w:rsidR="00350A6D" w:rsidRPr="00350A6D" w:rsidRDefault="00350A6D" w:rsidP="00350A6D">
      <w:pPr>
        <w:spacing w:line="276" w:lineRule="auto"/>
        <w:jc w:val="both"/>
        <w:rPr>
          <w:rFonts w:ascii="Cambria" w:hAnsi="Cambria"/>
        </w:rPr>
      </w:pPr>
    </w:p>
    <w:p w14:paraId="5DD197DA" w14:textId="2ABA6DF2" w:rsidR="00350A6D" w:rsidRPr="00350A6D" w:rsidRDefault="00350A6D" w:rsidP="00350A6D">
      <w:pPr>
        <w:spacing w:line="276" w:lineRule="auto"/>
        <w:jc w:val="both"/>
        <w:rPr>
          <w:rFonts w:ascii="Cambria" w:hAnsi="Cambria"/>
        </w:rPr>
      </w:pPr>
      <w:r w:rsidRPr="00350A6D">
        <w:rPr>
          <w:rFonts w:ascii="Cambria" w:hAnsi="Cambria"/>
        </w:rPr>
        <w:t>Sin embargo, no resulta jurídicamente exacto afirmar que el Ministerio carece de toda función relacionada con la problemática. El Decreto 714 de 2024 atribuye a la Dirección de Asuntos Indígenas, Rom y Minorías competencias de concertación, diálogo político, coordinación interinstitucional, asesoría territorial y promoción de acciones conjuntas con enfoque diferencial. La estrategia debe diferenciar entre la inexistencia de competencia sectorial para ejecutar infraestructura y la existencia de una competencia limitada de articulación institucional.</w:t>
      </w:r>
    </w:p>
    <w:p w14:paraId="75604C13" w14:textId="77777777" w:rsidR="00350A6D" w:rsidRPr="00350A6D" w:rsidRDefault="00350A6D" w:rsidP="00350A6D">
      <w:pPr>
        <w:spacing w:line="276" w:lineRule="auto"/>
        <w:jc w:val="both"/>
        <w:rPr>
          <w:rFonts w:ascii="Cambria" w:hAnsi="Cambria"/>
        </w:rPr>
      </w:pPr>
    </w:p>
    <w:p w14:paraId="4CBB7324" w14:textId="477883AD" w:rsidR="00350A6D" w:rsidRPr="00350A6D" w:rsidRDefault="00350A6D" w:rsidP="00350A6D">
      <w:pPr>
        <w:spacing w:line="276" w:lineRule="auto"/>
        <w:jc w:val="both"/>
        <w:rPr>
          <w:rFonts w:ascii="Cambria" w:hAnsi="Cambria"/>
        </w:rPr>
      </w:pPr>
      <w:r w:rsidRPr="00350A6D">
        <w:rPr>
          <w:rFonts w:ascii="Cambria" w:hAnsi="Cambria"/>
        </w:rPr>
        <w:t>La insuficiencia presupuestal certificada por el municipio no traslada automáticamente la obligación financiera al Ministerio del Interior. Los principios de coordinación, concurrencia y subsidiariedad exigen identificar previamente las competencias de cada nivel de gobierno, la existencia de estudios y diseños, la priorización en los instrumentos de planeación, las fuentes sectoriales de financiación, el esquema diferencial de prestación rural y la sostenibilidad de la operación y mantenimiento.</w:t>
      </w:r>
    </w:p>
    <w:p w14:paraId="3F55D7D5" w14:textId="77777777" w:rsidR="00350A6D" w:rsidRPr="00350A6D" w:rsidRDefault="00350A6D" w:rsidP="00350A6D">
      <w:pPr>
        <w:spacing w:line="276" w:lineRule="auto"/>
        <w:jc w:val="both"/>
        <w:rPr>
          <w:rFonts w:ascii="Cambria" w:hAnsi="Cambria"/>
        </w:rPr>
      </w:pPr>
    </w:p>
    <w:p w14:paraId="4E3D09F6" w14:textId="0A537901" w:rsidR="00350A6D" w:rsidRPr="00350A6D" w:rsidRDefault="00350A6D" w:rsidP="00350A6D">
      <w:pPr>
        <w:spacing w:line="276" w:lineRule="auto"/>
        <w:jc w:val="both"/>
        <w:rPr>
          <w:rFonts w:ascii="Cambria" w:hAnsi="Cambria"/>
        </w:rPr>
      </w:pPr>
      <w:r w:rsidRPr="00350A6D">
        <w:rPr>
          <w:rFonts w:ascii="Cambria" w:hAnsi="Cambria"/>
        </w:rPr>
        <w:t>También debe reformularse el argumento según el cual la demanda carece de prueba por no demostrar afectaciones médicas concretas. La acción popular tiene naturaleza preventiva y procede para evitar un daño contingente o hacer cesar una amenaza. La acreditación de consumo de agua cruda o no apta puede demostrar una amenaza relevante a la salubridad pública, sin que sea necesario esperar la aparición de enfermedades, especialmente cuando se encuentran involucrados niños y otros sujetos de especial protección constitucional.</w:t>
      </w:r>
    </w:p>
    <w:p w14:paraId="20535190" w14:textId="77777777" w:rsidR="00350A6D" w:rsidRPr="00350A6D" w:rsidRDefault="00350A6D" w:rsidP="00350A6D">
      <w:pPr>
        <w:spacing w:line="276" w:lineRule="auto"/>
        <w:jc w:val="both"/>
        <w:rPr>
          <w:rFonts w:ascii="Cambria" w:hAnsi="Cambria"/>
        </w:rPr>
      </w:pPr>
    </w:p>
    <w:p w14:paraId="16B41310" w14:textId="5B45D042" w:rsidR="00350A6D" w:rsidRPr="00350A6D" w:rsidRDefault="00350A6D" w:rsidP="00350A6D">
      <w:pPr>
        <w:spacing w:line="276" w:lineRule="auto"/>
        <w:jc w:val="both"/>
        <w:rPr>
          <w:rFonts w:ascii="Cambria" w:hAnsi="Cambria"/>
        </w:rPr>
      </w:pPr>
      <w:r w:rsidRPr="00350A6D">
        <w:rPr>
          <w:rFonts w:ascii="Cambria" w:hAnsi="Cambria"/>
        </w:rPr>
        <w:t xml:space="preserve">La excepción por falta de integración del contradictorio contiene, además, una contradicción que debe corregirse: la relación de partes de la ficha incluye al Ministerio de Vivienda, Ciudad y Territorio y a CARDER, pese a que la defensa afirma que fueron excluidos de la demanda. Debe verificarse igualmente la vinculación de Empresas </w:t>
      </w:r>
      <w:r w:rsidRPr="00350A6D">
        <w:rPr>
          <w:rFonts w:ascii="Cambria" w:hAnsi="Cambria"/>
        </w:rPr>
        <w:lastRenderedPageBreak/>
        <w:t>Públicas de Risaralda, del gestor del Plan Departamental de Agua, de la autoridad sanitaria y de los prestadores u organizaciones comunitarias involucradas.</w:t>
      </w:r>
    </w:p>
    <w:p w14:paraId="655FA181" w14:textId="77777777" w:rsidR="00350A6D" w:rsidRPr="00350A6D" w:rsidRDefault="00350A6D" w:rsidP="00350A6D">
      <w:pPr>
        <w:spacing w:line="276" w:lineRule="auto"/>
        <w:jc w:val="both"/>
        <w:rPr>
          <w:rFonts w:ascii="Cambria" w:hAnsi="Cambria"/>
          <w:b/>
        </w:rPr>
      </w:pPr>
    </w:p>
    <w:p w14:paraId="20C7DC24" w14:textId="10A78CD1" w:rsidR="00350A6D" w:rsidRPr="00350A6D" w:rsidRDefault="00350A6D" w:rsidP="00350A6D">
      <w:pPr>
        <w:spacing w:line="276" w:lineRule="auto"/>
        <w:jc w:val="both"/>
        <w:rPr>
          <w:rFonts w:ascii="Cambria" w:hAnsi="Cambria"/>
          <w:b/>
        </w:rPr>
      </w:pPr>
      <w:r w:rsidRPr="00350A6D">
        <w:rPr>
          <w:rFonts w:ascii="Cambria" w:hAnsi="Cambria"/>
          <w:b/>
        </w:rPr>
        <w:t>Valoración probatoria y del riesgo</w:t>
      </w:r>
      <w:r w:rsidRPr="00350A6D">
        <w:rPr>
          <w:rFonts w:ascii="Cambria" w:hAnsi="Cambria"/>
          <w:b/>
        </w:rPr>
        <w:t xml:space="preserve">: </w:t>
      </w:r>
      <w:r w:rsidRPr="00350A6D">
        <w:rPr>
          <w:rFonts w:ascii="Cambria" w:hAnsi="Cambria"/>
        </w:rPr>
        <w:t>La calificación uniforme de fortaleza probatoria baja no se encuentra suficientemente sustentada. La evidencia sobre la existencia de las comunidades, el consumo de agua sin tratamiento, el resultado no conforme del acueducto Alto Cauca y la afectación de centros educativos permite considerar media-alta la fortaleza probatoria de la amenaza colectiva, siempre que los documentos estén autenticados y actualizados. En cambio, la imputación al Ministerio como responsable de financiar o ejecutar las obras es baja, mientras que el riesgo de una orden de articulación es medio-alto.</w:t>
      </w:r>
    </w:p>
    <w:p w14:paraId="1DA51D58" w14:textId="77777777" w:rsidR="003237D3" w:rsidRDefault="003237D3" w:rsidP="00350A6D">
      <w:pPr>
        <w:spacing w:line="276" w:lineRule="auto"/>
        <w:jc w:val="both"/>
        <w:rPr>
          <w:rFonts w:ascii="Cambria" w:hAnsi="Cambria"/>
        </w:rPr>
      </w:pPr>
    </w:p>
    <w:p w14:paraId="2E551E7B" w14:textId="7C568123" w:rsidR="00350A6D" w:rsidRPr="00350A6D" w:rsidRDefault="00350A6D" w:rsidP="00350A6D">
      <w:pPr>
        <w:spacing w:line="276" w:lineRule="auto"/>
        <w:jc w:val="both"/>
        <w:rPr>
          <w:rFonts w:ascii="Cambria" w:hAnsi="Cambria"/>
        </w:rPr>
      </w:pPr>
      <w:r w:rsidRPr="00350A6D">
        <w:rPr>
          <w:rFonts w:ascii="Cambria" w:hAnsi="Cambria"/>
        </w:rPr>
        <w:t>El riesgo de que se ordene al Ministerio construir o financiar directamente los sistemas es bajo. No obstante, existe un riesgo medio-alto de que el Tribunal le imponga obligaciones de coordinación, convocatoria de mesas con autoridades indígenas, seguimiento institucional y presentación de informes. Por ello, se recomienda ajustar la calificación global de bajo a medio.</w:t>
      </w:r>
    </w:p>
    <w:p w14:paraId="4058D4B5" w14:textId="77777777" w:rsidR="00350A6D" w:rsidRPr="00350A6D" w:rsidRDefault="00350A6D" w:rsidP="00350A6D">
      <w:pPr>
        <w:spacing w:line="276" w:lineRule="auto"/>
        <w:jc w:val="both"/>
        <w:rPr>
          <w:rFonts w:ascii="Cambria" w:hAnsi="Cambria"/>
          <w:b/>
        </w:rPr>
      </w:pPr>
    </w:p>
    <w:p w14:paraId="127F2084" w14:textId="789B1231" w:rsidR="00350A6D" w:rsidRDefault="00350A6D" w:rsidP="00350A6D">
      <w:pPr>
        <w:spacing w:line="276" w:lineRule="auto"/>
        <w:jc w:val="both"/>
        <w:rPr>
          <w:rFonts w:ascii="Cambria" w:hAnsi="Cambria"/>
          <w:b/>
        </w:rPr>
      </w:pPr>
      <w:r w:rsidRPr="00350A6D">
        <w:rPr>
          <w:rFonts w:ascii="Cambria" w:hAnsi="Cambria"/>
          <w:b/>
        </w:rPr>
        <w:t>Aspectos que deben verificarse antes de la sesión</w:t>
      </w:r>
      <w:r w:rsidR="00500A30">
        <w:rPr>
          <w:rFonts w:ascii="Cambria" w:hAnsi="Cambria"/>
          <w:b/>
        </w:rPr>
        <w:t>:</w:t>
      </w:r>
    </w:p>
    <w:p w14:paraId="13668849" w14:textId="77777777" w:rsidR="00500A30" w:rsidRPr="00350A6D" w:rsidRDefault="00500A30" w:rsidP="00350A6D">
      <w:pPr>
        <w:spacing w:line="276" w:lineRule="auto"/>
        <w:jc w:val="both"/>
        <w:rPr>
          <w:rFonts w:ascii="Cambria" w:hAnsi="Cambria"/>
          <w:b/>
        </w:rPr>
      </w:pPr>
    </w:p>
    <w:p w14:paraId="320F1489"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Precisar la integración real del contradictorio y corregir la afirmación relativa a la ausencia del Ministerio de Vivienda y de CARDER, si ya se encuentran vinculados.</w:t>
      </w:r>
    </w:p>
    <w:p w14:paraId="0793A889"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Verificar la participación de Empresas Públicas de Risaralda, del gestor del Plan Departamental de Agua, de la autoridad sanitaria y de los prestadores u organizaciones comunitarias.</w:t>
      </w:r>
    </w:p>
    <w:p w14:paraId="46B53E4D"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Aportar la respuesta institucional al derecho de petición presentado el 5 de febrero de 2025 y establecer las actuaciones adelantadas por la Dirección de Asuntos Indígenas, Rom y Minorías.</w:t>
      </w:r>
    </w:p>
    <w:p w14:paraId="3223E218"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Confirmar el reconocimiento, delimitación y población actual de los tres resguardos.</w:t>
      </w:r>
    </w:p>
    <w:p w14:paraId="25A58F8F"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Verificar la autenticidad, fecha y alcance de los análisis de calidad del agua, así como la existencia de IRCA, mapas de riesgo o conceptos sanitarios.</w:t>
      </w:r>
    </w:p>
    <w:p w14:paraId="5B811672"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lastRenderedPageBreak/>
        <w:t>Establecer si existen estudios, diseños, proyectos registrados, priorización en el Plan Departamental de Agua o recursos sectoriales disponibles.</w:t>
      </w:r>
    </w:p>
    <w:p w14:paraId="024707C8"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Precisar el esquema de prestación aplicable y las responsabilidades de operación y mantenimiento.</w:t>
      </w:r>
    </w:p>
    <w:p w14:paraId="7A023A80"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Incorporar el precedente sobre protección colectiva del acceso al agua potable y reformular el argumento relativo a la falta de prueba de daño médico.</w:t>
      </w:r>
    </w:p>
    <w:p w14:paraId="428B3F35" w14:textId="77777777" w:rsidR="00350A6D" w:rsidRPr="00350A6D" w:rsidRDefault="00350A6D" w:rsidP="00350A6D">
      <w:pPr>
        <w:numPr>
          <w:ilvl w:val="0"/>
          <w:numId w:val="4"/>
        </w:numPr>
        <w:spacing w:line="276" w:lineRule="auto"/>
        <w:jc w:val="both"/>
        <w:rPr>
          <w:rFonts w:ascii="Cambria" w:hAnsi="Cambria"/>
        </w:rPr>
      </w:pPr>
      <w:r w:rsidRPr="00350A6D">
        <w:rPr>
          <w:rFonts w:ascii="Cambria" w:hAnsi="Cambria"/>
        </w:rPr>
        <w:t>Actualizar la valoración probatoria y elevar el riesgo global de bajo a medio.</w:t>
      </w:r>
    </w:p>
    <w:p w14:paraId="2BA85B80" w14:textId="77777777" w:rsidR="00350A6D" w:rsidRPr="00352A80" w:rsidRDefault="00350A6D" w:rsidP="00350A6D">
      <w:pPr>
        <w:spacing w:line="276" w:lineRule="auto"/>
        <w:jc w:val="both"/>
        <w:rPr>
          <w:rFonts w:ascii="Cambria" w:hAnsi="Cambria"/>
          <w:b/>
        </w:rPr>
      </w:pPr>
    </w:p>
    <w:p w14:paraId="142D70B0" w14:textId="65E8ECBA" w:rsidR="00350A6D" w:rsidRPr="00352A80" w:rsidRDefault="00350A6D" w:rsidP="00350A6D">
      <w:pPr>
        <w:spacing w:line="276" w:lineRule="auto"/>
        <w:jc w:val="both"/>
        <w:rPr>
          <w:rFonts w:ascii="Cambria" w:hAnsi="Cambria"/>
          <w:bCs/>
        </w:rPr>
      </w:pPr>
      <w:r w:rsidRPr="00352A80">
        <w:rPr>
          <w:rFonts w:ascii="Cambria" w:hAnsi="Cambria"/>
          <w:b/>
        </w:rPr>
        <w:t>Recomendación de la Secretaría General</w:t>
      </w:r>
      <w:r w:rsidRPr="00352A80">
        <w:rPr>
          <w:rFonts w:ascii="Cambria" w:hAnsi="Cambria"/>
          <w:b/>
        </w:rPr>
        <w:t>:</w:t>
      </w:r>
      <w:r w:rsidRPr="00352A80">
        <w:rPr>
          <w:rFonts w:ascii="Cambria" w:hAnsi="Cambria"/>
          <w:bCs/>
        </w:rPr>
        <w:t xml:space="preserve"> </w:t>
      </w:r>
      <w:r w:rsidRPr="00352A80">
        <w:rPr>
          <w:rFonts w:ascii="Cambria" w:hAnsi="Cambria"/>
          <w:bCs/>
        </w:rPr>
        <w:t xml:space="preserve">La Secretaría General comparte la recomendación de no presentar ni aceptar una fórmula de pacto que atribuya al Ministerio del Interior la obligación de estructurar, financiar, contratar, construir, operar o mantener sistemas de acueducto, plantas de tratamiento o infraestructura de agua potable en los resguardos </w:t>
      </w:r>
      <w:proofErr w:type="spellStart"/>
      <w:r w:rsidRPr="00352A80">
        <w:rPr>
          <w:rFonts w:ascii="Cambria" w:hAnsi="Cambria"/>
          <w:bCs/>
        </w:rPr>
        <w:t>Suratena</w:t>
      </w:r>
      <w:proofErr w:type="spellEnd"/>
      <w:r w:rsidRPr="00352A80">
        <w:rPr>
          <w:rFonts w:ascii="Cambria" w:hAnsi="Cambria"/>
          <w:bCs/>
        </w:rPr>
        <w:t xml:space="preserve">, Alto Mira y </w:t>
      </w:r>
      <w:proofErr w:type="spellStart"/>
      <w:r w:rsidRPr="00352A80">
        <w:rPr>
          <w:rFonts w:ascii="Cambria" w:hAnsi="Cambria"/>
          <w:bCs/>
        </w:rPr>
        <w:t>Kurmado</w:t>
      </w:r>
      <w:proofErr w:type="spellEnd"/>
      <w:r w:rsidRPr="00352A80">
        <w:rPr>
          <w:rFonts w:ascii="Cambria" w:hAnsi="Cambria"/>
          <w:bCs/>
        </w:rPr>
        <w:t>.</w:t>
      </w:r>
    </w:p>
    <w:p w14:paraId="1826AD82" w14:textId="77777777" w:rsidR="00350A6D" w:rsidRPr="00350A6D" w:rsidRDefault="00350A6D" w:rsidP="00350A6D">
      <w:pPr>
        <w:spacing w:line="276" w:lineRule="auto"/>
        <w:jc w:val="both"/>
        <w:rPr>
          <w:rFonts w:ascii="Cambria" w:hAnsi="Cambria"/>
        </w:rPr>
      </w:pPr>
    </w:p>
    <w:p w14:paraId="2E48D77F" w14:textId="33CE9B40" w:rsidR="00350A6D" w:rsidRPr="00350A6D" w:rsidRDefault="00350A6D" w:rsidP="00350A6D">
      <w:pPr>
        <w:spacing w:line="276" w:lineRule="auto"/>
        <w:jc w:val="both"/>
        <w:rPr>
          <w:rFonts w:ascii="Cambria" w:hAnsi="Cambria"/>
        </w:rPr>
      </w:pPr>
      <w:r w:rsidRPr="00350A6D">
        <w:rPr>
          <w:rFonts w:ascii="Cambria" w:hAnsi="Cambria"/>
        </w:rPr>
        <w:t>No obstante, no se recomienda una negativa absoluta. Podría autorizarse al apoderado para explorar una fórmula limitada, sin reconocimiento de responsabilidad ni compromiso de recursos, mediante la cual el Ministerio convoque o participe en una mesa de coordinación interinstitucional; facilite el diálogo entre las autoridades indígenas y las entidades sectoriales; promueva la incorporación del enfoque diferencial e intercultural; y realice seguimiento a los compromisos que voluntariamente asuman las autoridades competentes.</w:t>
      </w:r>
    </w:p>
    <w:p w14:paraId="5AEF86CA" w14:textId="77777777" w:rsidR="00500A30" w:rsidRDefault="00500A30" w:rsidP="00350A6D">
      <w:pPr>
        <w:spacing w:line="276" w:lineRule="auto"/>
        <w:jc w:val="both"/>
        <w:rPr>
          <w:rFonts w:ascii="Cambria" w:hAnsi="Cambria"/>
        </w:rPr>
      </w:pPr>
    </w:p>
    <w:p w14:paraId="3B7FE885" w14:textId="5F870C4B" w:rsidR="00350A6D" w:rsidRPr="00350A6D" w:rsidRDefault="00350A6D" w:rsidP="00350A6D">
      <w:pPr>
        <w:spacing w:line="276" w:lineRule="auto"/>
        <w:jc w:val="both"/>
        <w:rPr>
          <w:rFonts w:ascii="Cambria" w:hAnsi="Cambria"/>
        </w:rPr>
      </w:pPr>
      <w:r w:rsidRPr="00350A6D">
        <w:rPr>
          <w:rFonts w:ascii="Cambria" w:hAnsi="Cambria"/>
        </w:rPr>
        <w:t>La eventual fórmula deberá establecer expresamente que la participación del Ministerio se circunscribe a sus competencias de concertación, diálogo y coordinación interinstitucional con los pueblos indígenas y no comporta reconocimiento de responsabilidad, asunción de competencias sectoriales ni compromiso de financiación, contratación, construcción, operación o mantenimiento de infraestructura de agua potable.</w:t>
      </w:r>
    </w:p>
    <w:p w14:paraId="5804C50C" w14:textId="77777777" w:rsidR="00350A6D" w:rsidRPr="00350A6D" w:rsidRDefault="00350A6D" w:rsidP="00350A6D">
      <w:pPr>
        <w:spacing w:line="276" w:lineRule="auto"/>
        <w:jc w:val="both"/>
        <w:rPr>
          <w:rFonts w:ascii="Cambria" w:hAnsi="Cambria"/>
          <w:b/>
        </w:rPr>
      </w:pPr>
    </w:p>
    <w:p w14:paraId="1285D304" w14:textId="6C939277" w:rsidR="00350A6D" w:rsidRPr="00350A6D" w:rsidRDefault="00350A6D" w:rsidP="00350A6D">
      <w:pPr>
        <w:spacing w:line="276" w:lineRule="auto"/>
        <w:jc w:val="both"/>
      </w:pPr>
      <w:r w:rsidRPr="00350A6D">
        <w:rPr>
          <w:rFonts w:ascii="Cambria" w:hAnsi="Cambria"/>
          <w:b/>
        </w:rPr>
        <w:t xml:space="preserve">En conclusión, </w:t>
      </w:r>
      <w:r w:rsidRPr="00350A6D">
        <w:rPr>
          <w:rFonts w:ascii="Cambria" w:hAnsi="Cambria"/>
        </w:rPr>
        <w:t>s</w:t>
      </w:r>
      <w:r w:rsidRPr="00350A6D">
        <w:rPr>
          <w:rFonts w:ascii="Cambria" w:hAnsi="Cambria"/>
        </w:rPr>
        <w:t xml:space="preserve">e recomienda mantener la oposición a las pretensiones de contenido sectorial y presupuestal, pero valorar una fórmula limitada de coordinación interinstitucional con enfoque diferencial. Esta posición protege la competencia y el patrimonio del Ministerio, reconoce la gravedad objetiva de la problemática y responde </w:t>
      </w:r>
      <w:r w:rsidRPr="00350A6D">
        <w:rPr>
          <w:rFonts w:ascii="Cambria" w:hAnsi="Cambria"/>
        </w:rPr>
        <w:lastRenderedPageBreak/>
        <w:t>institucionalmente a la especial protección constitucional de las comunidades indígenas</w:t>
      </w:r>
      <w:r w:rsidRPr="00350A6D">
        <w:t>.</w:t>
      </w:r>
    </w:p>
    <w:p w14:paraId="5B35DFFF" w14:textId="6342B5D4" w:rsidR="00DC4DBE" w:rsidRPr="00500A30" w:rsidRDefault="00DC4DBE" w:rsidP="00DC4DBE">
      <w:pPr>
        <w:spacing w:line="276" w:lineRule="auto"/>
        <w:jc w:val="both"/>
        <w:rPr>
          <w:rFonts w:ascii="Cambria" w:hAnsi="Cambria"/>
          <w:sz w:val="28"/>
          <w:szCs w:val="28"/>
        </w:rPr>
      </w:pPr>
    </w:p>
    <w:p w14:paraId="5C8AFD2D" w14:textId="77777777" w:rsidR="00500A30" w:rsidRDefault="00500A30" w:rsidP="00500A30">
      <w:pPr>
        <w:spacing w:line="276" w:lineRule="auto"/>
        <w:jc w:val="both"/>
        <w:rPr>
          <w:rFonts w:ascii="Cambria" w:hAnsi="Cambria"/>
          <w:b/>
          <w:bCs/>
          <w:sz w:val="28"/>
          <w:szCs w:val="28"/>
        </w:rPr>
      </w:pPr>
    </w:p>
    <w:p w14:paraId="6349F8FF" w14:textId="77777777" w:rsidR="00500A30" w:rsidRDefault="00500A30" w:rsidP="00500A30">
      <w:pPr>
        <w:spacing w:line="276" w:lineRule="auto"/>
        <w:jc w:val="both"/>
        <w:rPr>
          <w:rFonts w:ascii="Cambria" w:hAnsi="Cambria"/>
          <w:b/>
          <w:bCs/>
          <w:sz w:val="28"/>
          <w:szCs w:val="28"/>
        </w:rPr>
      </w:pPr>
    </w:p>
    <w:p w14:paraId="2AAD7CB1" w14:textId="77777777" w:rsidR="00500A30" w:rsidRDefault="00500A30" w:rsidP="00500A30">
      <w:pPr>
        <w:spacing w:line="276" w:lineRule="auto"/>
        <w:jc w:val="both"/>
        <w:rPr>
          <w:rFonts w:ascii="Cambria" w:hAnsi="Cambria"/>
          <w:b/>
          <w:bCs/>
          <w:sz w:val="28"/>
          <w:szCs w:val="28"/>
        </w:rPr>
      </w:pPr>
    </w:p>
    <w:p w14:paraId="68FE2E4B" w14:textId="77777777" w:rsidR="00500A30" w:rsidRDefault="00500A30" w:rsidP="00500A30">
      <w:pPr>
        <w:spacing w:line="276" w:lineRule="auto"/>
        <w:jc w:val="both"/>
        <w:rPr>
          <w:rFonts w:ascii="Cambria" w:hAnsi="Cambria"/>
          <w:b/>
          <w:bCs/>
          <w:sz w:val="28"/>
          <w:szCs w:val="28"/>
        </w:rPr>
      </w:pPr>
    </w:p>
    <w:p w14:paraId="74C1BD1C" w14:textId="77777777" w:rsidR="00500A30" w:rsidRDefault="00500A30" w:rsidP="00500A30">
      <w:pPr>
        <w:spacing w:line="276" w:lineRule="auto"/>
        <w:jc w:val="both"/>
        <w:rPr>
          <w:rFonts w:ascii="Cambria" w:hAnsi="Cambria"/>
          <w:b/>
          <w:bCs/>
          <w:sz w:val="28"/>
          <w:szCs w:val="28"/>
        </w:rPr>
      </w:pPr>
    </w:p>
    <w:p w14:paraId="3680B735" w14:textId="77777777" w:rsidR="00500A30" w:rsidRDefault="00500A30" w:rsidP="00500A30">
      <w:pPr>
        <w:spacing w:line="276" w:lineRule="auto"/>
        <w:jc w:val="both"/>
        <w:rPr>
          <w:rFonts w:ascii="Cambria" w:hAnsi="Cambria"/>
          <w:b/>
          <w:bCs/>
          <w:sz w:val="28"/>
          <w:szCs w:val="28"/>
        </w:rPr>
      </w:pPr>
    </w:p>
    <w:p w14:paraId="621901D4" w14:textId="77777777" w:rsidR="00500A30" w:rsidRDefault="00500A30" w:rsidP="00500A30">
      <w:pPr>
        <w:spacing w:line="276" w:lineRule="auto"/>
        <w:jc w:val="both"/>
        <w:rPr>
          <w:rFonts w:ascii="Cambria" w:hAnsi="Cambria"/>
          <w:b/>
          <w:bCs/>
          <w:sz w:val="28"/>
          <w:szCs w:val="28"/>
        </w:rPr>
      </w:pPr>
    </w:p>
    <w:p w14:paraId="58FB9245" w14:textId="77777777" w:rsidR="00500A30" w:rsidRDefault="00500A30" w:rsidP="00500A30">
      <w:pPr>
        <w:spacing w:line="276" w:lineRule="auto"/>
        <w:jc w:val="both"/>
        <w:rPr>
          <w:rFonts w:ascii="Cambria" w:hAnsi="Cambria"/>
          <w:b/>
          <w:bCs/>
          <w:sz w:val="28"/>
          <w:szCs w:val="28"/>
        </w:rPr>
      </w:pPr>
    </w:p>
    <w:p w14:paraId="6A9B617C" w14:textId="77777777" w:rsidR="00500A30" w:rsidRDefault="00500A30" w:rsidP="00500A30">
      <w:pPr>
        <w:spacing w:line="276" w:lineRule="auto"/>
        <w:jc w:val="both"/>
        <w:rPr>
          <w:rFonts w:ascii="Cambria" w:hAnsi="Cambria"/>
          <w:b/>
          <w:bCs/>
          <w:sz w:val="28"/>
          <w:szCs w:val="28"/>
        </w:rPr>
      </w:pPr>
    </w:p>
    <w:p w14:paraId="6D164C44" w14:textId="77777777" w:rsidR="00500A30" w:rsidRDefault="00500A30" w:rsidP="00500A30">
      <w:pPr>
        <w:spacing w:line="276" w:lineRule="auto"/>
        <w:jc w:val="both"/>
        <w:rPr>
          <w:rFonts w:ascii="Cambria" w:hAnsi="Cambria"/>
          <w:b/>
          <w:bCs/>
          <w:sz w:val="28"/>
          <w:szCs w:val="28"/>
        </w:rPr>
      </w:pPr>
    </w:p>
    <w:p w14:paraId="3498EF2F" w14:textId="77777777" w:rsidR="00500A30" w:rsidRDefault="00500A30" w:rsidP="00500A30">
      <w:pPr>
        <w:spacing w:line="276" w:lineRule="auto"/>
        <w:jc w:val="both"/>
        <w:rPr>
          <w:rFonts w:ascii="Cambria" w:hAnsi="Cambria"/>
          <w:b/>
          <w:bCs/>
          <w:sz w:val="28"/>
          <w:szCs w:val="28"/>
        </w:rPr>
      </w:pPr>
    </w:p>
    <w:p w14:paraId="69ABCA7B" w14:textId="77777777" w:rsidR="00500A30" w:rsidRDefault="00500A30" w:rsidP="00500A30">
      <w:pPr>
        <w:spacing w:line="276" w:lineRule="auto"/>
        <w:jc w:val="both"/>
        <w:rPr>
          <w:rFonts w:ascii="Cambria" w:hAnsi="Cambria"/>
          <w:b/>
          <w:bCs/>
          <w:sz w:val="28"/>
          <w:szCs w:val="28"/>
        </w:rPr>
      </w:pPr>
    </w:p>
    <w:p w14:paraId="1FC69F19" w14:textId="77777777" w:rsidR="00500A30" w:rsidRDefault="00500A30" w:rsidP="00500A30">
      <w:pPr>
        <w:spacing w:line="276" w:lineRule="auto"/>
        <w:jc w:val="both"/>
        <w:rPr>
          <w:rFonts w:ascii="Cambria" w:hAnsi="Cambria"/>
          <w:b/>
          <w:bCs/>
          <w:sz w:val="28"/>
          <w:szCs w:val="28"/>
        </w:rPr>
      </w:pPr>
    </w:p>
    <w:p w14:paraId="1C8510C6" w14:textId="77777777" w:rsidR="00500A30" w:rsidRDefault="00500A30" w:rsidP="00500A30">
      <w:pPr>
        <w:spacing w:line="276" w:lineRule="auto"/>
        <w:jc w:val="both"/>
        <w:rPr>
          <w:rFonts w:ascii="Cambria" w:hAnsi="Cambria"/>
          <w:b/>
          <w:bCs/>
          <w:sz w:val="28"/>
          <w:szCs w:val="28"/>
        </w:rPr>
      </w:pPr>
    </w:p>
    <w:p w14:paraId="5648EA6A" w14:textId="77777777" w:rsidR="00500A30" w:rsidRDefault="00500A30" w:rsidP="00500A30">
      <w:pPr>
        <w:spacing w:line="276" w:lineRule="auto"/>
        <w:jc w:val="both"/>
        <w:rPr>
          <w:rFonts w:ascii="Cambria" w:hAnsi="Cambria"/>
          <w:b/>
          <w:bCs/>
          <w:sz w:val="28"/>
          <w:szCs w:val="28"/>
        </w:rPr>
      </w:pPr>
    </w:p>
    <w:p w14:paraId="664B41C6" w14:textId="77777777" w:rsidR="00500A30" w:rsidRDefault="00500A30" w:rsidP="00500A30">
      <w:pPr>
        <w:spacing w:line="276" w:lineRule="auto"/>
        <w:jc w:val="both"/>
        <w:rPr>
          <w:rFonts w:ascii="Cambria" w:hAnsi="Cambria"/>
          <w:b/>
          <w:bCs/>
          <w:sz w:val="28"/>
          <w:szCs w:val="28"/>
        </w:rPr>
      </w:pPr>
    </w:p>
    <w:p w14:paraId="29DDA0B0" w14:textId="77777777" w:rsidR="00500A30" w:rsidRDefault="00500A30" w:rsidP="00500A30">
      <w:pPr>
        <w:spacing w:line="276" w:lineRule="auto"/>
        <w:jc w:val="both"/>
        <w:rPr>
          <w:rFonts w:ascii="Cambria" w:hAnsi="Cambria"/>
          <w:b/>
          <w:bCs/>
          <w:sz w:val="28"/>
          <w:szCs w:val="28"/>
        </w:rPr>
      </w:pPr>
    </w:p>
    <w:p w14:paraId="24A1EB67" w14:textId="77777777" w:rsidR="00500A30" w:rsidRDefault="00500A30" w:rsidP="00500A30">
      <w:pPr>
        <w:spacing w:line="276" w:lineRule="auto"/>
        <w:jc w:val="both"/>
        <w:rPr>
          <w:rFonts w:ascii="Cambria" w:hAnsi="Cambria"/>
          <w:b/>
          <w:bCs/>
          <w:sz w:val="28"/>
          <w:szCs w:val="28"/>
        </w:rPr>
      </w:pPr>
    </w:p>
    <w:p w14:paraId="49274568" w14:textId="77777777" w:rsidR="00500A30" w:rsidRDefault="00500A30" w:rsidP="00500A30">
      <w:pPr>
        <w:spacing w:line="276" w:lineRule="auto"/>
        <w:jc w:val="both"/>
        <w:rPr>
          <w:rFonts w:ascii="Cambria" w:hAnsi="Cambria"/>
          <w:b/>
          <w:bCs/>
          <w:sz w:val="28"/>
          <w:szCs w:val="28"/>
        </w:rPr>
      </w:pPr>
    </w:p>
    <w:p w14:paraId="183748BA" w14:textId="77777777" w:rsidR="00500A30" w:rsidRDefault="00500A30" w:rsidP="00500A30">
      <w:pPr>
        <w:spacing w:line="276" w:lineRule="auto"/>
        <w:jc w:val="both"/>
        <w:rPr>
          <w:rFonts w:ascii="Cambria" w:hAnsi="Cambria"/>
          <w:b/>
          <w:bCs/>
          <w:sz w:val="28"/>
          <w:szCs w:val="28"/>
        </w:rPr>
      </w:pPr>
    </w:p>
    <w:p w14:paraId="0AFC9ABA" w14:textId="77777777" w:rsidR="00500A30" w:rsidRDefault="00500A30" w:rsidP="00500A30">
      <w:pPr>
        <w:spacing w:line="276" w:lineRule="auto"/>
        <w:jc w:val="both"/>
        <w:rPr>
          <w:rFonts w:ascii="Cambria" w:hAnsi="Cambria"/>
          <w:b/>
          <w:bCs/>
          <w:sz w:val="28"/>
          <w:szCs w:val="28"/>
        </w:rPr>
      </w:pPr>
    </w:p>
    <w:p w14:paraId="02BECDDF" w14:textId="77777777" w:rsidR="00500A30" w:rsidRDefault="00500A30" w:rsidP="00500A30">
      <w:pPr>
        <w:spacing w:line="276" w:lineRule="auto"/>
        <w:jc w:val="both"/>
        <w:rPr>
          <w:rFonts w:ascii="Cambria" w:hAnsi="Cambria"/>
          <w:b/>
          <w:bCs/>
          <w:sz w:val="28"/>
          <w:szCs w:val="28"/>
        </w:rPr>
      </w:pPr>
    </w:p>
    <w:p w14:paraId="4B9C06A9" w14:textId="77777777" w:rsidR="00500A30" w:rsidRDefault="00500A30" w:rsidP="00500A30">
      <w:pPr>
        <w:spacing w:line="276" w:lineRule="auto"/>
        <w:jc w:val="both"/>
        <w:rPr>
          <w:rFonts w:ascii="Cambria" w:hAnsi="Cambria"/>
          <w:b/>
          <w:bCs/>
          <w:sz w:val="28"/>
          <w:szCs w:val="28"/>
        </w:rPr>
      </w:pPr>
    </w:p>
    <w:p w14:paraId="2CE6C392" w14:textId="77777777" w:rsidR="00500A30" w:rsidRDefault="00500A30" w:rsidP="00500A30">
      <w:pPr>
        <w:spacing w:line="276" w:lineRule="auto"/>
        <w:jc w:val="both"/>
        <w:rPr>
          <w:rFonts w:ascii="Cambria" w:hAnsi="Cambria"/>
          <w:b/>
          <w:bCs/>
          <w:sz w:val="28"/>
          <w:szCs w:val="28"/>
        </w:rPr>
      </w:pPr>
    </w:p>
    <w:p w14:paraId="38830DF3" w14:textId="77777777" w:rsidR="00500A30" w:rsidRDefault="00500A30" w:rsidP="00500A30">
      <w:pPr>
        <w:spacing w:line="276" w:lineRule="auto"/>
        <w:jc w:val="both"/>
        <w:rPr>
          <w:rFonts w:ascii="Cambria" w:hAnsi="Cambria"/>
          <w:b/>
          <w:bCs/>
          <w:sz w:val="28"/>
          <w:szCs w:val="28"/>
        </w:rPr>
      </w:pPr>
    </w:p>
    <w:p w14:paraId="1BE6D818" w14:textId="77777777" w:rsidR="00500A30" w:rsidRDefault="00500A30" w:rsidP="00500A30">
      <w:pPr>
        <w:spacing w:line="276" w:lineRule="auto"/>
        <w:jc w:val="both"/>
        <w:rPr>
          <w:rFonts w:ascii="Cambria" w:hAnsi="Cambria"/>
          <w:b/>
          <w:bCs/>
          <w:sz w:val="28"/>
          <w:szCs w:val="28"/>
        </w:rPr>
      </w:pPr>
    </w:p>
    <w:p w14:paraId="41D56196" w14:textId="284B0C4E" w:rsidR="00500A30" w:rsidRPr="00500A30" w:rsidRDefault="00500A30" w:rsidP="00500A30">
      <w:pPr>
        <w:spacing w:line="276" w:lineRule="auto"/>
        <w:jc w:val="both"/>
        <w:rPr>
          <w:rFonts w:ascii="Cambria" w:hAnsi="Cambria"/>
          <w:b/>
          <w:bCs/>
          <w:sz w:val="28"/>
          <w:szCs w:val="28"/>
        </w:rPr>
      </w:pPr>
      <w:r w:rsidRPr="00500A30">
        <w:rPr>
          <w:rFonts w:ascii="Cambria" w:hAnsi="Cambria"/>
          <w:b/>
          <w:bCs/>
          <w:sz w:val="28"/>
          <w:szCs w:val="28"/>
        </w:rPr>
        <w:lastRenderedPageBreak/>
        <w:t>Ficha No. 4 – 410691</w:t>
      </w:r>
      <w:r w:rsidRPr="00500A30">
        <w:rPr>
          <w:rFonts w:ascii="Cambria" w:hAnsi="Cambria"/>
          <w:b/>
          <w:bCs/>
          <w:sz w:val="28"/>
          <w:szCs w:val="28"/>
        </w:rPr>
        <w:t>-</w:t>
      </w:r>
      <w:r w:rsidRPr="00500A30">
        <w:rPr>
          <w:rFonts w:ascii="Cambria" w:hAnsi="Cambria"/>
          <w:b/>
          <w:bCs/>
          <w:sz w:val="28"/>
          <w:szCs w:val="28"/>
        </w:rPr>
        <w:t>Arcelia Patricia Mora Rodríguez – Conciliación extrajudicial por hurto cometido por persona sometida a detención domiciliaria</w:t>
      </w:r>
      <w:r w:rsidRPr="00500A30">
        <w:rPr>
          <w:rFonts w:ascii="Cambria" w:hAnsi="Cambria"/>
          <w:b/>
          <w:bCs/>
          <w:sz w:val="28"/>
          <w:szCs w:val="28"/>
        </w:rPr>
        <w:t>- Reparación directa</w:t>
      </w:r>
      <w:r w:rsidR="008B4C52">
        <w:rPr>
          <w:rFonts w:ascii="Cambria" w:hAnsi="Cambria"/>
          <w:b/>
          <w:bCs/>
          <w:sz w:val="28"/>
          <w:szCs w:val="28"/>
        </w:rPr>
        <w:t>- Conciliación prejudicial</w:t>
      </w:r>
      <w:r w:rsidRPr="00500A30">
        <w:rPr>
          <w:rFonts w:ascii="Cambria" w:hAnsi="Cambria"/>
          <w:b/>
          <w:bCs/>
          <w:sz w:val="28"/>
          <w:szCs w:val="28"/>
        </w:rPr>
        <w:t xml:space="preserve">: </w:t>
      </w:r>
    </w:p>
    <w:p w14:paraId="4C818781" w14:textId="77777777" w:rsidR="00500A30" w:rsidRDefault="00500A30" w:rsidP="00500A30">
      <w:pPr>
        <w:spacing w:line="276" w:lineRule="auto"/>
        <w:jc w:val="both"/>
      </w:pPr>
    </w:p>
    <w:p w14:paraId="320D7E3A" w14:textId="4EB9E48B" w:rsidR="00500A30" w:rsidRPr="00500A30" w:rsidRDefault="00500A30" w:rsidP="00500A30">
      <w:pPr>
        <w:spacing w:line="276" w:lineRule="auto"/>
        <w:jc w:val="both"/>
        <w:rPr>
          <w:rFonts w:ascii="Cambria" w:hAnsi="Cambria"/>
        </w:rPr>
      </w:pPr>
      <w:r w:rsidRPr="00500A30">
        <w:rPr>
          <w:rFonts w:ascii="Cambria" w:hAnsi="Cambria"/>
        </w:rPr>
        <w:t>La solicitud de conciliación pretende que el Ministerio del Interior, el INPEC y la Policía Nacional reconozcan y paguen $535.271.500 por los perjuicios presuntamente ocasionados a Arcelia Patricia Mora Rodríguez, víctima de un hurto agravado ocurrido el 13 de junio de 2024. El autor fue capturado en flagrancia y el teléfono celular sustraído fue recuperado. Para la fecha de los hechos, aquel se encontraba sometido a una medida de detención domiciliaria y, según la convocatoria, bajo vigilancia del INPEC.</w:t>
      </w:r>
    </w:p>
    <w:p w14:paraId="4AB03C87" w14:textId="77777777" w:rsidR="00500A30" w:rsidRPr="00500A30" w:rsidRDefault="00500A30" w:rsidP="00500A30">
      <w:pPr>
        <w:spacing w:line="276" w:lineRule="auto"/>
        <w:jc w:val="both"/>
        <w:rPr>
          <w:rFonts w:ascii="Cambria" w:hAnsi="Cambria"/>
        </w:rPr>
      </w:pPr>
      <w:r w:rsidRPr="00500A30">
        <w:rPr>
          <w:rFonts w:ascii="Cambria" w:hAnsi="Cambria"/>
        </w:rPr>
        <w:t xml:space="preserve">La Secretaría General comparte la recomendación de </w:t>
      </w:r>
      <w:r w:rsidRPr="00500A30">
        <w:rPr>
          <w:rFonts w:ascii="Cambria" w:hAnsi="Cambria"/>
          <w:b/>
          <w:bCs/>
        </w:rPr>
        <w:t>no presentar ni aceptar fórmula conciliatoria alguna respecto del Ministerio del Interior</w:t>
      </w:r>
      <w:r w:rsidRPr="00500A30">
        <w:rPr>
          <w:rFonts w:ascii="Cambria" w:hAnsi="Cambria"/>
        </w:rPr>
        <w:t>, pues no existe evidencia de que esta cartera hubiera intervenido en la imposición, ejecución o vigilancia de la medida domiciliaria; tuviera bajo su custodia al autor del hurto; ejerciera mando sobre el INPEC o la Policía Nacional; conociera incumplimientos previos de la medida; o hubiera desplegado alguna acción u omisión causalmente relacionada con el hecho delictivo.</w:t>
      </w:r>
    </w:p>
    <w:p w14:paraId="29E1EADB" w14:textId="77777777" w:rsidR="00500A30" w:rsidRPr="00500A30" w:rsidRDefault="00500A30" w:rsidP="00500A30">
      <w:pPr>
        <w:spacing w:line="276" w:lineRule="auto"/>
        <w:jc w:val="both"/>
        <w:rPr>
          <w:rFonts w:ascii="Cambria" w:hAnsi="Cambria"/>
        </w:rPr>
      </w:pPr>
    </w:p>
    <w:p w14:paraId="660EEF7E" w14:textId="203845FE" w:rsidR="00500A30" w:rsidRPr="00500A30" w:rsidRDefault="00500A30" w:rsidP="00500A30">
      <w:pPr>
        <w:spacing w:line="276" w:lineRule="auto"/>
        <w:jc w:val="both"/>
        <w:rPr>
          <w:rFonts w:ascii="Cambria" w:hAnsi="Cambria"/>
        </w:rPr>
      </w:pPr>
      <w:r w:rsidRPr="00500A30">
        <w:rPr>
          <w:rFonts w:ascii="Cambria" w:hAnsi="Cambria"/>
        </w:rPr>
        <w:t>No obstante, la defensa debe precisar que el Ministerio sí posee funciones de formulación y coordinación de políticas de seguridad y orden público. Lo jurídicamente relevante es que estas competencias son estratégicas y de articulación y no comprenden la custodia individual de detenidos, la vigilancia domiciliaria, el control de mecanismos electrónicos, la captura de personas ni el mando operativo sobre el INPEC o la Policía Nacional. Por tanto, la falta de legitimación material debe sustentarse en esta delimitación funcional y no en la negación absoluta de cualquier competencia relacionada con seguridad.</w:t>
      </w:r>
    </w:p>
    <w:p w14:paraId="009A5D60" w14:textId="77777777" w:rsidR="00500A30" w:rsidRPr="00500A30" w:rsidRDefault="00500A30" w:rsidP="00500A30">
      <w:pPr>
        <w:spacing w:line="276" w:lineRule="auto"/>
        <w:jc w:val="both"/>
        <w:rPr>
          <w:rFonts w:ascii="Cambria" w:hAnsi="Cambria"/>
        </w:rPr>
      </w:pPr>
    </w:p>
    <w:p w14:paraId="6606968E" w14:textId="5AFB9545" w:rsidR="00500A30" w:rsidRPr="00500A30" w:rsidRDefault="00500A30" w:rsidP="00500A30">
      <w:pPr>
        <w:spacing w:line="276" w:lineRule="auto"/>
        <w:jc w:val="both"/>
        <w:rPr>
          <w:rFonts w:ascii="Cambria" w:hAnsi="Cambria"/>
        </w:rPr>
      </w:pPr>
      <w:r w:rsidRPr="00500A30">
        <w:rPr>
          <w:rFonts w:ascii="Cambria" w:hAnsi="Cambria"/>
        </w:rPr>
        <w:t xml:space="preserve">El argumento del hecho exclusivo de un tercero debe utilizarse de manera complementaria y no como eximente automática. Aunque el hurto fue cometido materialmente por un particular, la convocatoria sostiene que su ocurrencia fue facilitada por el incumplimiento de una medida de detención domiciliaria. Frente al Ministerio del Interior, la ausencia de imputación no deriva simplemente de la conducta </w:t>
      </w:r>
      <w:r w:rsidRPr="00500A30">
        <w:rPr>
          <w:rFonts w:ascii="Cambria" w:hAnsi="Cambria"/>
        </w:rPr>
        <w:lastRenderedPageBreak/>
        <w:t>del delincuente, sino de la inexistencia de un deber funcional concreto de vigilancia o custodia a cargo de esta cartera.</w:t>
      </w:r>
    </w:p>
    <w:p w14:paraId="49A46D4D" w14:textId="77777777" w:rsidR="00500A30" w:rsidRPr="00500A30" w:rsidRDefault="00500A30" w:rsidP="00500A30">
      <w:pPr>
        <w:spacing w:line="276" w:lineRule="auto"/>
        <w:jc w:val="both"/>
        <w:rPr>
          <w:rFonts w:ascii="Cambria" w:hAnsi="Cambria"/>
        </w:rPr>
      </w:pPr>
    </w:p>
    <w:p w14:paraId="25CAA100" w14:textId="01436EBF" w:rsidR="00500A30" w:rsidRPr="00500A30" w:rsidRDefault="00500A30" w:rsidP="00500A30">
      <w:pPr>
        <w:spacing w:line="276" w:lineRule="auto"/>
        <w:jc w:val="both"/>
        <w:rPr>
          <w:rFonts w:ascii="Cambria" w:hAnsi="Cambria"/>
        </w:rPr>
      </w:pPr>
      <w:r w:rsidRPr="00500A30">
        <w:rPr>
          <w:rFonts w:ascii="Cambria" w:hAnsi="Cambria"/>
        </w:rPr>
        <w:t>La ficha también presenta inconsistencias que deben ser aclaradas. Se afirma que el 7 de julio de 2023 se impuso una medida de detención intramural, pero posteriormente el ciudadano aparece registrado en detención domiciliaria. Además, figura bajo vigilancia del EPMSC Santa Marta, aunque el domicilio, el hurto y la captura se ubican en Bogotá. Deben obtenerse las decisiones judiciales completas, establecer cuándo se sustituyó la medida, identificar el domicilio autorizado, determinar qué establecimiento ejercía la vigilancia y verificar los controles efectivamente realizados por el INPEC.</w:t>
      </w:r>
    </w:p>
    <w:p w14:paraId="745E8E20" w14:textId="77777777" w:rsidR="00500A30" w:rsidRPr="00500A30" w:rsidRDefault="00500A30" w:rsidP="00500A30">
      <w:pPr>
        <w:spacing w:line="276" w:lineRule="auto"/>
        <w:jc w:val="both"/>
        <w:rPr>
          <w:rFonts w:ascii="Cambria" w:hAnsi="Cambria"/>
        </w:rPr>
      </w:pPr>
    </w:p>
    <w:p w14:paraId="698F478D" w14:textId="12FC4E8F" w:rsidR="00500A30" w:rsidRPr="00500A30" w:rsidRDefault="00500A30" w:rsidP="00500A30">
      <w:pPr>
        <w:spacing w:line="276" w:lineRule="auto"/>
        <w:jc w:val="both"/>
        <w:rPr>
          <w:rFonts w:ascii="Cambria" w:hAnsi="Cambria"/>
        </w:rPr>
      </w:pPr>
      <w:r w:rsidRPr="00500A30">
        <w:rPr>
          <w:rFonts w:ascii="Cambria" w:hAnsi="Cambria"/>
        </w:rPr>
        <w:t>La fuga ocurrida en la Estación de Policía de Fontibón el 31 de julio de 2024 no integra la cadena causal del hurto, pues sucedió después de este. De igual manera, el fallecimiento del presunto autor y la preclusión del proceso penal por extinción de la acción penal no acreditan una falla del servicio ni la responsabilidad patrimonial de las entidades convocadas. Estos hechos pueden mencionarse como antecedentes, pero no deben utilizarse como fundamentos de imputación.</w:t>
      </w:r>
    </w:p>
    <w:p w14:paraId="348F5B70" w14:textId="77777777" w:rsidR="00500A30" w:rsidRPr="00500A30" w:rsidRDefault="00500A30" w:rsidP="00500A30">
      <w:pPr>
        <w:spacing w:line="276" w:lineRule="auto"/>
        <w:jc w:val="both"/>
        <w:rPr>
          <w:rFonts w:ascii="Cambria" w:hAnsi="Cambria"/>
        </w:rPr>
      </w:pPr>
    </w:p>
    <w:p w14:paraId="38B8E229" w14:textId="6A7F6695" w:rsidR="00500A30" w:rsidRPr="00500A30" w:rsidRDefault="00500A30" w:rsidP="00500A30">
      <w:pPr>
        <w:spacing w:line="276" w:lineRule="auto"/>
        <w:jc w:val="both"/>
        <w:rPr>
          <w:rFonts w:ascii="Cambria" w:hAnsi="Cambria"/>
        </w:rPr>
      </w:pPr>
      <w:r w:rsidRPr="00500A30">
        <w:rPr>
          <w:rFonts w:ascii="Cambria" w:hAnsi="Cambria"/>
        </w:rPr>
        <w:t>La cuantificación de los perjuicios presenta una debilidad probatoria significativa. El teléfono fue recuperado, no se aportan soportes suficientes de daño emergente, la certificación laboral no demuestra pérdida de ingresos, no existe prueba de incapacidad o afectación psicofísica que sustente el daño a la salud y tampoco se justifica la solicitud de cien salarios mínimos por perjuicios morales. El lucro cesante, además, fue formulado genéricamente en cien salarios mínimos, sin establecer ingresos dejados de percibir ni periodo indemnizable. La suma reclamada aparece construida mediante la acumulación automática de rubros máximos, sin una justificación individual, causal y proporcional.</w:t>
      </w:r>
    </w:p>
    <w:p w14:paraId="5B1E74AB" w14:textId="77777777" w:rsidR="00500A30" w:rsidRPr="00500A30" w:rsidRDefault="00500A30" w:rsidP="00500A30">
      <w:pPr>
        <w:spacing w:line="276" w:lineRule="auto"/>
        <w:jc w:val="both"/>
        <w:rPr>
          <w:rFonts w:ascii="Cambria" w:hAnsi="Cambria"/>
        </w:rPr>
      </w:pPr>
    </w:p>
    <w:p w14:paraId="27C914FD" w14:textId="67B8F489" w:rsidR="00500A30" w:rsidRPr="00500A30" w:rsidRDefault="00500A30" w:rsidP="00500A30">
      <w:pPr>
        <w:spacing w:line="276" w:lineRule="auto"/>
        <w:jc w:val="both"/>
        <w:rPr>
          <w:rFonts w:ascii="Cambria" w:hAnsi="Cambria"/>
        </w:rPr>
      </w:pPr>
      <w:r w:rsidRPr="00500A30">
        <w:rPr>
          <w:rFonts w:ascii="Cambria" w:hAnsi="Cambria"/>
        </w:rPr>
        <w:t>La solicitud fue presentada oportunamente el 12 de junio de 2026</w:t>
      </w:r>
      <w:r w:rsidRPr="00500A30">
        <w:rPr>
          <w:rFonts w:ascii="Cambria" w:hAnsi="Cambria"/>
        </w:rPr>
        <w:t>,</w:t>
      </w:r>
      <w:r w:rsidRPr="00500A30">
        <w:rPr>
          <w:rFonts w:ascii="Cambria" w:hAnsi="Cambria"/>
        </w:rPr>
        <w:t xml:space="preserve"> </w:t>
      </w:r>
      <w:r w:rsidRPr="00500A30">
        <w:rPr>
          <w:rFonts w:ascii="Cambria" w:hAnsi="Cambria"/>
        </w:rPr>
        <w:t>s</w:t>
      </w:r>
      <w:r w:rsidRPr="00500A30">
        <w:rPr>
          <w:rFonts w:ascii="Cambria" w:hAnsi="Cambria"/>
        </w:rPr>
        <w:t>in embargo, por su cercanía con el vencimiento del término de caducidad, debe precisarse la fecha exacta de radicación, el momento de suspensión del término y los días restantes para la eventual presentación de la demanda una vez concluya el trámite conciliatorio.</w:t>
      </w:r>
    </w:p>
    <w:p w14:paraId="78C00162" w14:textId="77777777" w:rsidR="00500A30" w:rsidRPr="00500A30" w:rsidRDefault="00500A30" w:rsidP="00500A30">
      <w:pPr>
        <w:spacing w:line="276" w:lineRule="auto"/>
        <w:jc w:val="both"/>
        <w:rPr>
          <w:rFonts w:ascii="Cambria" w:hAnsi="Cambria"/>
        </w:rPr>
      </w:pPr>
    </w:p>
    <w:p w14:paraId="6836FC6F" w14:textId="3D8A2BD3" w:rsidR="00500A30" w:rsidRPr="00500A30" w:rsidRDefault="00500A30" w:rsidP="00500A30">
      <w:pPr>
        <w:spacing w:line="276" w:lineRule="auto"/>
        <w:jc w:val="both"/>
        <w:rPr>
          <w:rFonts w:ascii="Cambria" w:hAnsi="Cambria"/>
        </w:rPr>
      </w:pPr>
      <w:r w:rsidRPr="00500A30">
        <w:rPr>
          <w:rFonts w:ascii="Cambria" w:hAnsi="Cambria"/>
        </w:rPr>
        <w:lastRenderedPageBreak/>
        <w:t xml:space="preserve">La valoración probatoria debe diferenciar entre la ocurrencia del hurto —debidamente acreditada— y la imputación al Ministerio del Interior, que es prácticamente inexistente. El riesgo de condena para esta cartera es </w:t>
      </w:r>
      <w:r w:rsidRPr="00500A30">
        <w:rPr>
          <w:rFonts w:ascii="Cambria" w:hAnsi="Cambria"/>
          <w:b/>
          <w:bCs/>
        </w:rPr>
        <w:t>muy bajo</w:t>
      </w:r>
      <w:r w:rsidRPr="00500A30">
        <w:rPr>
          <w:rFonts w:ascii="Cambria" w:hAnsi="Cambria"/>
        </w:rPr>
        <w:t>, aunque puede mantenerse una calificación global baja mientras permanezca formalmente vinculada a la controversia.</w:t>
      </w:r>
    </w:p>
    <w:p w14:paraId="5FDCFF22" w14:textId="77777777" w:rsidR="00500A30" w:rsidRPr="00500A30" w:rsidRDefault="00500A30" w:rsidP="00500A30">
      <w:pPr>
        <w:spacing w:line="276" w:lineRule="auto"/>
        <w:jc w:val="both"/>
        <w:rPr>
          <w:rFonts w:ascii="Cambria" w:hAnsi="Cambria"/>
        </w:rPr>
      </w:pPr>
    </w:p>
    <w:p w14:paraId="207F15F4" w14:textId="023D0E68" w:rsidR="00500A30" w:rsidRPr="00500A30" w:rsidRDefault="00500A30" w:rsidP="00500A30">
      <w:pPr>
        <w:spacing w:line="276" w:lineRule="auto"/>
        <w:jc w:val="both"/>
        <w:rPr>
          <w:rFonts w:ascii="Cambria" w:hAnsi="Cambria"/>
        </w:rPr>
      </w:pPr>
      <w:r w:rsidRPr="00500A30">
        <w:rPr>
          <w:rFonts w:ascii="Cambria" w:hAnsi="Cambria"/>
        </w:rPr>
        <w:t>Antes de la sesión, la Dirección Jurídica deberá solicitar al apoderado</w:t>
      </w:r>
      <w:r w:rsidR="003237D3">
        <w:rPr>
          <w:rFonts w:ascii="Cambria" w:hAnsi="Cambria"/>
        </w:rPr>
        <w:t xml:space="preserve"> se aclare lo siguiente</w:t>
      </w:r>
      <w:r w:rsidRPr="00500A30">
        <w:rPr>
          <w:rFonts w:ascii="Cambria" w:hAnsi="Cambria"/>
        </w:rPr>
        <w:t>:</w:t>
      </w:r>
    </w:p>
    <w:p w14:paraId="484C4A79" w14:textId="77777777" w:rsidR="00500A30" w:rsidRPr="00500A30" w:rsidRDefault="00500A30" w:rsidP="00500A30">
      <w:pPr>
        <w:spacing w:line="276" w:lineRule="auto"/>
        <w:jc w:val="both"/>
        <w:rPr>
          <w:rFonts w:ascii="Cambria" w:hAnsi="Cambria"/>
        </w:rPr>
      </w:pPr>
    </w:p>
    <w:p w14:paraId="4679ED22"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Las decisiones judiciales que impusieron y modificaron la medida de aseguramiento. </w:t>
      </w:r>
    </w:p>
    <w:p w14:paraId="4880D9BB" w14:textId="48FF8539" w:rsidR="00500A30" w:rsidRPr="003237D3" w:rsidRDefault="00500A30" w:rsidP="003237D3">
      <w:pPr>
        <w:numPr>
          <w:ilvl w:val="0"/>
          <w:numId w:val="5"/>
        </w:numPr>
        <w:spacing w:line="276" w:lineRule="auto"/>
        <w:jc w:val="both"/>
        <w:rPr>
          <w:rFonts w:ascii="Cambria" w:hAnsi="Cambria"/>
        </w:rPr>
      </w:pPr>
      <w:r w:rsidRPr="00500A30">
        <w:rPr>
          <w:rFonts w:ascii="Cambria" w:hAnsi="Cambria"/>
        </w:rPr>
        <w:t xml:space="preserve">La identificación del establecimiento encargado de la vigilancia domiciliaria. </w:t>
      </w:r>
      <w:r w:rsidRPr="003237D3">
        <w:rPr>
          <w:rFonts w:ascii="Cambria" w:hAnsi="Cambria"/>
        </w:rPr>
        <w:t xml:space="preserve">. </w:t>
      </w:r>
    </w:p>
    <w:p w14:paraId="122DAAE3"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 explicación de la referencia al EPMSC Santa Marta. </w:t>
      </w:r>
    </w:p>
    <w:p w14:paraId="7D0172AB"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Los antecedentes de incumplimiento conocidos antes del hurto. </w:t>
      </w:r>
    </w:p>
    <w:p w14:paraId="3B9910C5" w14:textId="51B940BA" w:rsidR="00500A30" w:rsidRPr="00500A30" w:rsidRDefault="00500A30" w:rsidP="00500A30">
      <w:pPr>
        <w:numPr>
          <w:ilvl w:val="0"/>
          <w:numId w:val="5"/>
        </w:numPr>
        <w:spacing w:line="276" w:lineRule="auto"/>
        <w:jc w:val="both"/>
        <w:rPr>
          <w:rFonts w:ascii="Cambria" w:hAnsi="Cambria"/>
        </w:rPr>
      </w:pPr>
      <w:r w:rsidRPr="00500A30">
        <w:rPr>
          <w:rFonts w:ascii="Cambria" w:hAnsi="Cambria"/>
        </w:rPr>
        <w:t>Los soportes del daño emergente, lucro cesante, daño a la salud y perjuicio moral</w:t>
      </w:r>
      <w:r w:rsidR="003237D3">
        <w:rPr>
          <w:rFonts w:ascii="Cambria" w:hAnsi="Cambria"/>
        </w:rPr>
        <w:t xml:space="preserve"> que se presentan con la solicitud de conciliación.</w:t>
      </w:r>
    </w:p>
    <w:p w14:paraId="7A2518C6"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 estimación razonada de cada rubro indemnizatorio. </w:t>
      </w:r>
    </w:p>
    <w:p w14:paraId="7C346182"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 trazabilidad precisa de la caducidad. </w:t>
      </w:r>
    </w:p>
    <w:p w14:paraId="008DA28E"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 incorporación del precedente aplicable. </w:t>
      </w:r>
    </w:p>
    <w:p w14:paraId="54A1CB78" w14:textId="77777777" w:rsidR="00500A30" w:rsidRPr="00500A30" w:rsidRDefault="00500A30" w:rsidP="00500A30">
      <w:pPr>
        <w:numPr>
          <w:ilvl w:val="0"/>
          <w:numId w:val="5"/>
        </w:numPr>
        <w:spacing w:line="276" w:lineRule="auto"/>
        <w:jc w:val="both"/>
        <w:rPr>
          <w:rFonts w:ascii="Cambria" w:hAnsi="Cambria"/>
        </w:rPr>
      </w:pPr>
      <w:r w:rsidRPr="00500A30">
        <w:rPr>
          <w:rFonts w:ascii="Cambria" w:hAnsi="Cambria"/>
        </w:rPr>
        <w:t xml:space="preserve">La corrección del argumento relativo al hecho exclusivo de un tercero. </w:t>
      </w:r>
    </w:p>
    <w:p w14:paraId="29B09BC6" w14:textId="77777777" w:rsidR="00500A30" w:rsidRDefault="00500A30" w:rsidP="00500A30">
      <w:pPr>
        <w:spacing w:line="276" w:lineRule="auto"/>
        <w:jc w:val="both"/>
        <w:rPr>
          <w:rFonts w:ascii="Cambria" w:hAnsi="Cambria"/>
        </w:rPr>
      </w:pPr>
    </w:p>
    <w:p w14:paraId="5E07A90A" w14:textId="0F0764BF" w:rsidR="00500A30" w:rsidRDefault="00500A30" w:rsidP="00500A30">
      <w:pPr>
        <w:spacing w:line="276" w:lineRule="auto"/>
        <w:jc w:val="both"/>
      </w:pPr>
      <w:r w:rsidRPr="00500A30">
        <w:rPr>
          <w:rFonts w:ascii="Cambria" w:hAnsi="Cambria"/>
        </w:rPr>
        <w:t xml:space="preserve">En conclusión, se recomienda </w:t>
      </w:r>
      <w:r w:rsidRPr="00500A30">
        <w:rPr>
          <w:rFonts w:ascii="Cambria" w:hAnsi="Cambria"/>
          <w:b/>
          <w:bCs/>
        </w:rPr>
        <w:t>NO CONCILIAR</w:t>
      </w:r>
      <w:r w:rsidRPr="00500A30">
        <w:rPr>
          <w:rFonts w:ascii="Cambria" w:hAnsi="Cambria"/>
        </w:rPr>
        <w:t>, debido a la inexistencia de un deber funcional de vigilancia o custodia a cargo del Ministerio del Interior, la ausencia de participación material en los hechos, la falta de nexo de imputación y la insuficiente acreditación de los perjuicios reclamados. No se aconseja formular compromisos subsidiarios, dado que la controversia tiene finalidad exclusivamente indemnizatoria y no existe una actuación institucional útil que pueda ser asumida por esta cartera sin desbordar sus competencias</w:t>
      </w:r>
      <w:r w:rsidRPr="00500A30">
        <w:t>.</w:t>
      </w:r>
    </w:p>
    <w:p w14:paraId="5B256D8E" w14:textId="77777777" w:rsidR="00500A30" w:rsidRDefault="00500A30" w:rsidP="00500A30">
      <w:pPr>
        <w:spacing w:line="276" w:lineRule="auto"/>
        <w:jc w:val="both"/>
      </w:pPr>
    </w:p>
    <w:p w14:paraId="0FE80F5F" w14:textId="77777777" w:rsidR="00500A30" w:rsidRDefault="00500A30" w:rsidP="00500A30">
      <w:pPr>
        <w:spacing w:line="276" w:lineRule="auto"/>
        <w:jc w:val="both"/>
      </w:pPr>
    </w:p>
    <w:p w14:paraId="2478BADD" w14:textId="77777777" w:rsidR="00500A30" w:rsidRDefault="00500A30" w:rsidP="00500A30">
      <w:pPr>
        <w:spacing w:line="276" w:lineRule="auto"/>
        <w:jc w:val="both"/>
      </w:pPr>
    </w:p>
    <w:p w14:paraId="5460C572" w14:textId="77777777" w:rsidR="00500A30" w:rsidRDefault="00500A30" w:rsidP="00500A30">
      <w:pPr>
        <w:spacing w:line="276" w:lineRule="auto"/>
        <w:jc w:val="both"/>
      </w:pPr>
    </w:p>
    <w:p w14:paraId="16C18269" w14:textId="77777777" w:rsidR="00500A30" w:rsidRDefault="00500A30" w:rsidP="00500A30">
      <w:pPr>
        <w:spacing w:line="276" w:lineRule="auto"/>
        <w:jc w:val="both"/>
      </w:pPr>
    </w:p>
    <w:p w14:paraId="69F53B3A" w14:textId="77777777" w:rsidR="00500A30" w:rsidRDefault="00500A30" w:rsidP="00500A30">
      <w:pPr>
        <w:spacing w:line="276" w:lineRule="auto"/>
        <w:jc w:val="both"/>
      </w:pPr>
    </w:p>
    <w:p w14:paraId="5C8A5E1F" w14:textId="5157769D" w:rsidR="003237D3" w:rsidRPr="003237D3" w:rsidRDefault="003237D3" w:rsidP="003237D3">
      <w:pPr>
        <w:pStyle w:val="Ttulo2"/>
        <w:jc w:val="both"/>
        <w:rPr>
          <w:rFonts w:ascii="Cambria" w:hAnsi="Cambria"/>
          <w:color w:val="000000" w:themeColor="text1"/>
          <w:sz w:val="28"/>
          <w:szCs w:val="28"/>
          <w:lang w:eastAsia="es-MX"/>
        </w:rPr>
      </w:pPr>
      <w:r w:rsidRPr="003237D3">
        <w:rPr>
          <w:rFonts w:ascii="Cambria" w:hAnsi="Cambria"/>
          <w:b/>
          <w:bCs/>
          <w:color w:val="000000" w:themeColor="text1"/>
          <w:sz w:val="28"/>
          <w:szCs w:val="28"/>
        </w:rPr>
        <w:lastRenderedPageBreak/>
        <w:t>Ficha No. 5 – 410739</w:t>
      </w:r>
      <w:r w:rsidRPr="003237D3">
        <w:rPr>
          <w:rFonts w:ascii="Cambria" w:hAnsi="Cambria"/>
          <w:b/>
          <w:bCs/>
          <w:color w:val="000000" w:themeColor="text1"/>
          <w:sz w:val="28"/>
          <w:szCs w:val="28"/>
        </w:rPr>
        <w:t>-</w:t>
      </w:r>
      <w:r w:rsidRPr="003237D3">
        <w:rPr>
          <w:rFonts w:ascii="Cambria" w:hAnsi="Cambria"/>
          <w:color w:val="000000" w:themeColor="text1"/>
          <w:sz w:val="28"/>
          <w:szCs w:val="28"/>
        </w:rPr>
        <w:t xml:space="preserve"> </w:t>
      </w:r>
      <w:r w:rsidRPr="003237D3">
        <w:rPr>
          <w:rStyle w:val="Fuerte"/>
          <w:rFonts w:ascii="Cambria" w:hAnsi="Cambria"/>
          <w:color w:val="000000" w:themeColor="text1"/>
          <w:sz w:val="28"/>
          <w:szCs w:val="28"/>
        </w:rPr>
        <w:t>Libia Marina Cataño – Daños ocasionados por atentado contra instalaciones de la fuerza pública en El Estrecho, Patía</w:t>
      </w:r>
      <w:r w:rsidRPr="003237D3">
        <w:rPr>
          <w:rStyle w:val="Fuerte"/>
          <w:rFonts w:ascii="Cambria" w:hAnsi="Cambria"/>
          <w:color w:val="000000" w:themeColor="text1"/>
          <w:sz w:val="28"/>
          <w:szCs w:val="28"/>
        </w:rPr>
        <w:t>- Reparación directa</w:t>
      </w:r>
      <w:r w:rsidR="008B4C52">
        <w:rPr>
          <w:rStyle w:val="Fuerte"/>
          <w:rFonts w:ascii="Cambria" w:hAnsi="Cambria"/>
          <w:color w:val="000000" w:themeColor="text1"/>
          <w:sz w:val="28"/>
          <w:szCs w:val="28"/>
        </w:rPr>
        <w:t>- Conciliación prejudicial</w:t>
      </w:r>
      <w:r w:rsidRPr="003237D3">
        <w:rPr>
          <w:rStyle w:val="Fuerte"/>
          <w:rFonts w:ascii="Cambria" w:hAnsi="Cambria"/>
          <w:color w:val="000000" w:themeColor="text1"/>
          <w:sz w:val="28"/>
          <w:szCs w:val="28"/>
        </w:rPr>
        <w:t>:</w:t>
      </w:r>
    </w:p>
    <w:p w14:paraId="6BB84600" w14:textId="77777777" w:rsidR="003237D3" w:rsidRPr="003237D3" w:rsidRDefault="003237D3" w:rsidP="003237D3">
      <w:pPr>
        <w:pStyle w:val="NormalWeb"/>
        <w:jc w:val="both"/>
        <w:rPr>
          <w:rFonts w:ascii="Cambria" w:hAnsi="Cambria"/>
        </w:rPr>
      </w:pPr>
      <w:r w:rsidRPr="003237D3">
        <w:rPr>
          <w:rFonts w:ascii="Cambria" w:hAnsi="Cambria"/>
        </w:rPr>
        <w:t xml:space="preserve">La solicitud de conciliación pretende que el Ministerio del Interior reconozca y pague $98.640.000 por los daños materiales e inmateriales ocasionados a Libia Marina Cataño como consecuencia del atentado ocurrido el 13 de mayo de 2025 en el corregimiento El Estrecho, municipio de Patía, Cauca. </w:t>
      </w:r>
    </w:p>
    <w:p w14:paraId="4349A39A" w14:textId="0DC799FD" w:rsidR="003237D3" w:rsidRPr="003237D3" w:rsidRDefault="003237D3" w:rsidP="003237D3">
      <w:pPr>
        <w:pStyle w:val="NormalWeb"/>
        <w:jc w:val="both"/>
        <w:rPr>
          <w:rFonts w:ascii="Cambria" w:hAnsi="Cambria"/>
        </w:rPr>
      </w:pPr>
      <w:r w:rsidRPr="003237D3">
        <w:rPr>
          <w:rFonts w:ascii="Cambria" w:hAnsi="Cambria"/>
        </w:rPr>
        <w:t>Según la convocatoria</w:t>
      </w:r>
      <w:r w:rsidRPr="003237D3">
        <w:rPr>
          <w:rFonts w:ascii="Cambria" w:hAnsi="Cambria"/>
        </w:rPr>
        <w:t xml:space="preserve"> a conciliación</w:t>
      </w:r>
      <w:r w:rsidRPr="003237D3">
        <w:rPr>
          <w:rFonts w:ascii="Cambria" w:hAnsi="Cambria"/>
        </w:rPr>
        <w:t>, el ataque estuvo dirigido contra la Subestación de Policía El Estrecho y/o el Batallón de Instrucción, Entrenamiento y Reentrenamiento No. 29 del Ejército Nacional y afectó el inmueble habitado o poseído por la convocante y su hermana, así como una unidad de negocio.</w:t>
      </w:r>
    </w:p>
    <w:p w14:paraId="7B162AB3" w14:textId="77777777" w:rsidR="003237D3" w:rsidRPr="003237D3" w:rsidRDefault="003237D3" w:rsidP="003237D3">
      <w:pPr>
        <w:pStyle w:val="NormalWeb"/>
        <w:jc w:val="both"/>
        <w:rPr>
          <w:rFonts w:ascii="Cambria" w:hAnsi="Cambria"/>
        </w:rPr>
      </w:pPr>
      <w:r w:rsidRPr="003237D3">
        <w:rPr>
          <w:rFonts w:ascii="Cambria" w:hAnsi="Cambria"/>
        </w:rPr>
        <w:t xml:space="preserve">La Secretaría General comparte la recomendación de </w:t>
      </w:r>
      <w:r w:rsidRPr="003237D3">
        <w:rPr>
          <w:rStyle w:val="Fuerte"/>
          <w:rFonts w:ascii="Cambria" w:hAnsi="Cambria"/>
        </w:rPr>
        <w:t>no presentar ni aceptar fórmula conciliatoria respecto del Ministerio del Interior</w:t>
      </w:r>
      <w:r w:rsidRPr="003237D3">
        <w:rPr>
          <w:rFonts w:ascii="Cambria" w:hAnsi="Cambria"/>
        </w:rPr>
        <w:t>, debido a que no se encuentra acreditado que esta cartera fuera propietaria, administradora u operadora de la instalación atacada; ejerciera mando sobre la Policía Nacional o el Ejército Nacional; hubiera participado en las decisiones operativas de seguridad; o hubiera incurrido en una acción u omisión concreta relacionada causalmente con el atentado.</w:t>
      </w:r>
    </w:p>
    <w:p w14:paraId="1C711A7A" w14:textId="00EEB4E7" w:rsidR="003237D3" w:rsidRPr="003237D3" w:rsidRDefault="003237D3" w:rsidP="003237D3">
      <w:pPr>
        <w:pStyle w:val="NormalWeb"/>
        <w:jc w:val="both"/>
        <w:rPr>
          <w:rFonts w:ascii="Cambria" w:hAnsi="Cambria"/>
        </w:rPr>
      </w:pPr>
      <w:r w:rsidRPr="003237D3">
        <w:rPr>
          <w:rFonts w:ascii="Cambria" w:hAnsi="Cambria"/>
        </w:rPr>
        <w:t>No obstante, debe corregirse el fundamento relativo al hecho exclusivo de un tercero. La autoría material de un grupo armado ilegal no excluye automáticamente la responsabilidad estatal</w:t>
      </w:r>
      <w:r w:rsidRPr="003237D3">
        <w:rPr>
          <w:rFonts w:ascii="Cambria" w:hAnsi="Cambria"/>
        </w:rPr>
        <w:t xml:space="preserve">, pues la </w:t>
      </w:r>
      <w:r w:rsidRPr="003237D3">
        <w:rPr>
          <w:rFonts w:ascii="Cambria" w:hAnsi="Cambria"/>
        </w:rPr>
        <w:t xml:space="preserve"> jurisprudencia del Consejo de Estado ha admitido que los daños ocasionados por ataques dirigidos contra instalaciones o bienes representativos del Estado pueden ser imputados bajo los títulos de falla del servicio, riesgo excepcional o daño especial, particularmente cuando la presencia del objetivo estatal expone de manera singular a los inmuebles y habitantes vecinos.</w:t>
      </w:r>
    </w:p>
    <w:p w14:paraId="3A118121" w14:textId="77777777" w:rsidR="003237D3" w:rsidRPr="003237D3" w:rsidRDefault="003237D3" w:rsidP="003237D3">
      <w:pPr>
        <w:pStyle w:val="NormalWeb"/>
        <w:jc w:val="both"/>
        <w:rPr>
          <w:rFonts w:ascii="Cambria" w:hAnsi="Cambria"/>
        </w:rPr>
      </w:pPr>
      <w:r w:rsidRPr="003237D3">
        <w:rPr>
          <w:rFonts w:ascii="Cambria" w:hAnsi="Cambria"/>
        </w:rPr>
        <w:t>Por tanto, la defensa no debe negar genéricamente cualquier posibilidad de responsabilidad del Estado. Debe demostrar que la entidad que eventualmente creó, administró o controló el riesgo no fue el Ministerio del Interior. Si el objetivo del atentado fue la Subestación de Policía, la imputación correspondería primordialmente a la Nación–Ministerio de Defensa–Policía Nacional; si fue el Batallón No. 29, deberá examinarse frente a la Nación–Ministerio de Defensa–Ejército Nacional.</w:t>
      </w:r>
    </w:p>
    <w:p w14:paraId="4C939B6A" w14:textId="12F125C9" w:rsidR="003237D3" w:rsidRPr="003237D3" w:rsidRDefault="003237D3" w:rsidP="003237D3">
      <w:pPr>
        <w:pStyle w:val="NormalWeb"/>
        <w:jc w:val="both"/>
        <w:rPr>
          <w:rFonts w:ascii="Cambria" w:hAnsi="Cambria"/>
        </w:rPr>
      </w:pPr>
      <w:r w:rsidRPr="003237D3">
        <w:rPr>
          <w:rFonts w:ascii="Cambria" w:hAnsi="Cambria"/>
        </w:rPr>
        <w:t>También debe precisarse que el Ministerio del Interior sí posee funciones de formulación y coordinación de políticas en materia de seguridad, convivencia y orden público</w:t>
      </w:r>
      <w:r w:rsidRPr="003237D3">
        <w:rPr>
          <w:rFonts w:ascii="Cambria" w:hAnsi="Cambria"/>
        </w:rPr>
        <w:t>, si</w:t>
      </w:r>
      <w:r w:rsidRPr="003237D3">
        <w:rPr>
          <w:rFonts w:ascii="Cambria" w:hAnsi="Cambria"/>
        </w:rPr>
        <w:t xml:space="preserve">n embargo, estas atribuciones no comprenden el mando operacional de la </w:t>
      </w:r>
      <w:r w:rsidRPr="003237D3">
        <w:rPr>
          <w:rFonts w:ascii="Cambria" w:hAnsi="Cambria"/>
        </w:rPr>
        <w:lastRenderedPageBreak/>
        <w:t>fuerza pública, la ubicación táctica de instalaciones, la inteligencia militar o policial, la seguridad física de las unidades ni la respuesta armada frente a ataques. La defensa debe apoyarse en esta delimitación funcional y no en la afirmación absoluta de que la entidad carece de toda competencia relacionada con el orden público.</w:t>
      </w:r>
    </w:p>
    <w:p w14:paraId="55BE15D6" w14:textId="0E4C19BD" w:rsidR="003237D3" w:rsidRPr="003237D3" w:rsidRDefault="003237D3" w:rsidP="003237D3">
      <w:pPr>
        <w:pStyle w:val="NormalWeb"/>
        <w:jc w:val="both"/>
        <w:rPr>
          <w:rFonts w:ascii="Cambria" w:hAnsi="Cambria"/>
        </w:rPr>
      </w:pPr>
      <w:r w:rsidRPr="003237D3">
        <w:rPr>
          <w:rFonts w:ascii="Cambria" w:hAnsi="Cambria"/>
        </w:rPr>
        <w:t>Antes de descartar cualquier imputación, debe verificarse</w:t>
      </w:r>
      <w:r w:rsidRPr="003237D3">
        <w:rPr>
          <w:rFonts w:ascii="Cambria" w:hAnsi="Cambria"/>
        </w:rPr>
        <w:t xml:space="preserve"> y aclararse</w:t>
      </w:r>
      <w:r w:rsidRPr="003237D3">
        <w:rPr>
          <w:rFonts w:ascii="Cambria" w:hAnsi="Cambria"/>
        </w:rPr>
        <w:t xml:space="preserve"> si existían alertas tempranas, consejos de seguridad, solicitudes concretas de apoyo o compromisos institucionales conocidos por el Ministerio. La existencia de funciones generales de coordinación no permite atribuirle el daño, pero una eventual omisión frente a una alerta o deber específico podría modificar la valoración del riesgo.</w:t>
      </w:r>
    </w:p>
    <w:p w14:paraId="785894E5" w14:textId="77777777" w:rsidR="003237D3" w:rsidRPr="003237D3" w:rsidRDefault="003237D3" w:rsidP="003237D3">
      <w:pPr>
        <w:pStyle w:val="NormalWeb"/>
        <w:jc w:val="both"/>
        <w:rPr>
          <w:rFonts w:ascii="Cambria" w:hAnsi="Cambria"/>
        </w:rPr>
      </w:pPr>
      <w:r w:rsidRPr="003237D3">
        <w:rPr>
          <w:rFonts w:ascii="Cambria" w:hAnsi="Cambria"/>
        </w:rPr>
        <w:t>La ficha presenta una indeterminación esencial al señalar que el ataque se dirigió contra la Subestación de Policía “y/o” el Batallón No. 29. Es necesario identificar el objetivo concreto, establecer si ambas instalaciones funcionan en el mismo lugar, determinar la distancia respecto del inmueble afectado y precisar si los daños provinieron directamente del ataque, de la reacción de la fuerza pública o de una combinación de ambos factores.</w:t>
      </w:r>
    </w:p>
    <w:p w14:paraId="79551371" w14:textId="77777777" w:rsidR="003237D3" w:rsidRPr="003237D3" w:rsidRDefault="003237D3" w:rsidP="003237D3">
      <w:pPr>
        <w:pStyle w:val="NormalWeb"/>
        <w:jc w:val="both"/>
        <w:rPr>
          <w:rFonts w:ascii="Cambria" w:hAnsi="Cambria"/>
        </w:rPr>
      </w:pPr>
      <w:r w:rsidRPr="003237D3">
        <w:rPr>
          <w:rFonts w:ascii="Cambria" w:hAnsi="Cambria"/>
        </w:rPr>
        <w:t>Asimismo, la certificación municipal menciona daños derivados de atentados ocurridos el 13 de mayo y el 19 de octubre de 2025, mientras que la solicitud parece referirse exclusivamente al primer evento. Los daños de cada atentado deben individualizarse técnica y causalmente para evitar que se atribuyan al hecho de mayo afectaciones producidas o agravadas en octubre.</w:t>
      </w:r>
    </w:p>
    <w:p w14:paraId="4FD7D8CD" w14:textId="77777777" w:rsidR="003237D3" w:rsidRPr="003237D3" w:rsidRDefault="003237D3" w:rsidP="003237D3">
      <w:pPr>
        <w:pStyle w:val="NormalWeb"/>
        <w:jc w:val="both"/>
        <w:rPr>
          <w:rFonts w:ascii="Cambria" w:hAnsi="Cambria"/>
        </w:rPr>
      </w:pPr>
      <w:r w:rsidRPr="003237D3">
        <w:rPr>
          <w:rFonts w:ascii="Cambria" w:hAnsi="Cambria"/>
        </w:rPr>
        <w:t>La legitimación y los perjuicios también requieren depuración. La ficha registra únicamente a Libia Marina Cataño como convocante, pero incorpora documentos y afectaciones correspondientes a Doris Alicia González Nieves. Debe establecerse si esta última formula pretensiones, si otorgó poder y cuál era su relación jurídica con el inmueble. De igual manera, la propiedad o posesión debe acreditarse mediante certificado de tradición, título, información catastral o prueba suficiente de ocupación material.</w:t>
      </w:r>
    </w:p>
    <w:p w14:paraId="26A508F7" w14:textId="77777777" w:rsidR="003237D3" w:rsidRPr="003237D3" w:rsidRDefault="003237D3" w:rsidP="003237D3">
      <w:pPr>
        <w:pStyle w:val="NormalWeb"/>
        <w:jc w:val="both"/>
        <w:rPr>
          <w:rFonts w:ascii="Cambria" w:hAnsi="Cambria"/>
        </w:rPr>
      </w:pPr>
      <w:r w:rsidRPr="003237D3">
        <w:rPr>
          <w:rFonts w:ascii="Cambria" w:hAnsi="Cambria"/>
        </w:rPr>
        <w:t>La cuantía reclamada no puede sustentarse únicamente en certificaciones generales sobre los daños. Deben aportarse dictamen técnico, registro fotográfico, inventario, avalúo y presupuesto de reparación. Respecto de la unidad de negocio, deberán demostrarse su existencia, titularidad, bienes afectados, ingresos anteriores y periodo real de interrupción. Las historias clínicas pueden acreditar afectaciones psicológicas, pero debe verificarse su diagnóstico, temporalidad, gravedad y relación causal con cada atentado.</w:t>
      </w:r>
    </w:p>
    <w:p w14:paraId="2455B310" w14:textId="18841179" w:rsidR="003237D3" w:rsidRPr="008B4C52" w:rsidRDefault="003237D3" w:rsidP="003237D3">
      <w:pPr>
        <w:pStyle w:val="NormalWeb"/>
        <w:rPr>
          <w:rFonts w:ascii="Cambria" w:hAnsi="Cambria"/>
        </w:rPr>
      </w:pPr>
      <w:r w:rsidRPr="008B4C52">
        <w:rPr>
          <w:rFonts w:ascii="Cambria" w:hAnsi="Cambria"/>
        </w:rPr>
        <w:lastRenderedPageBreak/>
        <w:t xml:space="preserve">El riesgo global para esta cartera puede mantenerse como </w:t>
      </w:r>
      <w:r w:rsidRPr="008B4C52">
        <w:rPr>
          <w:rStyle w:val="Fuerte"/>
          <w:rFonts w:ascii="Cambria" w:hAnsi="Cambria"/>
        </w:rPr>
        <w:t>bajo</w:t>
      </w:r>
      <w:r w:rsidRPr="008B4C52">
        <w:rPr>
          <w:rFonts w:ascii="Cambria" w:hAnsi="Cambria"/>
        </w:rPr>
        <w:t>, condicionado a que se confirme que no recibió alertas específicas, no asumió compromisos concretos y no intervino en la creación o administración del riesgo.</w:t>
      </w:r>
    </w:p>
    <w:p w14:paraId="0C074B84" w14:textId="4AD3493A" w:rsidR="003237D3" w:rsidRPr="008B4C52" w:rsidRDefault="003237D3" w:rsidP="003237D3">
      <w:pPr>
        <w:pStyle w:val="Ttulo3"/>
        <w:jc w:val="both"/>
        <w:rPr>
          <w:rFonts w:ascii="Cambria" w:hAnsi="Cambria"/>
          <w:b/>
          <w:bCs/>
          <w:color w:val="000000" w:themeColor="text1"/>
          <w:sz w:val="24"/>
          <w:szCs w:val="24"/>
        </w:rPr>
      </w:pPr>
      <w:r w:rsidRPr="008B4C52">
        <w:rPr>
          <w:rFonts w:ascii="Cambria" w:hAnsi="Cambria"/>
          <w:b/>
          <w:bCs/>
          <w:color w:val="000000" w:themeColor="text1"/>
          <w:sz w:val="24"/>
          <w:szCs w:val="24"/>
        </w:rPr>
        <w:t>Aspectos que deben verificarse antes de la sesión</w:t>
      </w:r>
      <w:r w:rsidRPr="008B4C52">
        <w:rPr>
          <w:rFonts w:ascii="Cambria" w:hAnsi="Cambria"/>
          <w:b/>
          <w:bCs/>
          <w:color w:val="000000" w:themeColor="text1"/>
          <w:sz w:val="24"/>
          <w:szCs w:val="24"/>
        </w:rPr>
        <w:t xml:space="preserve">: </w:t>
      </w:r>
      <w:r w:rsidRPr="008B4C52">
        <w:rPr>
          <w:rFonts w:ascii="Cambria" w:hAnsi="Cambria"/>
          <w:b/>
          <w:bCs/>
          <w:color w:val="000000" w:themeColor="text1"/>
          <w:sz w:val="24"/>
          <w:szCs w:val="24"/>
        </w:rPr>
        <w:t>La Dirección Jurídica deberá solicitar al apoderado:</w:t>
      </w:r>
    </w:p>
    <w:p w14:paraId="0EE8C55F"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Identificar con precisión el objetivo del atentado. </w:t>
      </w:r>
    </w:p>
    <w:p w14:paraId="12E88CC1"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Establecer la entidad propietaria y administradora de la instalación atacada. </w:t>
      </w:r>
    </w:p>
    <w:p w14:paraId="7E6C8746" w14:textId="06FB524E"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Precisar sobre </w:t>
      </w:r>
      <w:r w:rsidRPr="008B4C52">
        <w:rPr>
          <w:rFonts w:ascii="Cambria" w:hAnsi="Cambria"/>
        </w:rPr>
        <w:t xml:space="preserve">informes de la Policía Nacional y del Ejército sobre los hechos. </w:t>
      </w:r>
    </w:p>
    <w:p w14:paraId="248E8D5B"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Determinar la distancia entre el inmueble y el objetivo estatal. </w:t>
      </w:r>
    </w:p>
    <w:p w14:paraId="02CF7D2F" w14:textId="75BB7752"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Establecer el origen material de los daños.</w:t>
      </w:r>
    </w:p>
    <w:p w14:paraId="6D023389"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Verificar si el Ministerio recibió solicitudes o asumió compromisos específicos. </w:t>
      </w:r>
    </w:p>
    <w:p w14:paraId="08800935"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Establecer si FONSECON intervino en la infraestructura atacada. </w:t>
      </w:r>
    </w:p>
    <w:p w14:paraId="32EDF904"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Diferenciar los daños de mayo y octubre de 2025. </w:t>
      </w:r>
    </w:p>
    <w:p w14:paraId="6E76E238"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Aclarar la participación y las pretensiones de Doris Alicia González Nieves. </w:t>
      </w:r>
    </w:p>
    <w:p w14:paraId="61D18164"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Acreditar la propiedad o posesión del inmueble. </w:t>
      </w:r>
    </w:p>
    <w:p w14:paraId="1A33B26E"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Incorporar el precedente sobre riesgo excepcional y daño especial. </w:t>
      </w:r>
    </w:p>
    <w:p w14:paraId="4C50ECC5" w14:textId="77777777" w:rsidR="003237D3" w:rsidRPr="008B4C52" w:rsidRDefault="003237D3" w:rsidP="003237D3">
      <w:pPr>
        <w:numPr>
          <w:ilvl w:val="0"/>
          <w:numId w:val="6"/>
        </w:numPr>
        <w:spacing w:before="100" w:beforeAutospacing="1" w:after="100" w:afterAutospacing="1"/>
        <w:rPr>
          <w:rFonts w:ascii="Cambria" w:hAnsi="Cambria"/>
        </w:rPr>
      </w:pPr>
      <w:r w:rsidRPr="008B4C52">
        <w:rPr>
          <w:rFonts w:ascii="Cambria" w:hAnsi="Cambria"/>
        </w:rPr>
        <w:t xml:space="preserve">Reformular el hecho de un tercero como argumento subsidiario. </w:t>
      </w:r>
    </w:p>
    <w:p w14:paraId="57980DFE" w14:textId="77777777" w:rsidR="003237D3" w:rsidRPr="008B4C52" w:rsidRDefault="003237D3" w:rsidP="003237D3">
      <w:pPr>
        <w:pStyle w:val="NormalWeb"/>
        <w:jc w:val="both"/>
        <w:rPr>
          <w:rFonts w:ascii="Cambria" w:hAnsi="Cambria"/>
        </w:rPr>
      </w:pPr>
      <w:r w:rsidRPr="008B4C52">
        <w:rPr>
          <w:rFonts w:ascii="Cambria" w:hAnsi="Cambria"/>
        </w:rPr>
        <w:t xml:space="preserve">En conclusión, se recomienda </w:t>
      </w:r>
      <w:r w:rsidRPr="008B4C52">
        <w:rPr>
          <w:rStyle w:val="Fuerte"/>
          <w:rFonts w:ascii="Cambria" w:hAnsi="Cambria"/>
        </w:rPr>
        <w:t>NO CONCILIAR</w:t>
      </w:r>
      <w:r w:rsidRPr="008B4C52">
        <w:rPr>
          <w:rFonts w:ascii="Cambria" w:hAnsi="Cambria"/>
        </w:rPr>
        <w:t>, debido a la falta de legitimación material del Ministerio del Interior, la ausencia de una conducta concreta atribuible a esta cartera y la insuficiente acreditación de la titularidad, causalidad y cuantía de los perjuicios. La defensa debe reconocer que el atentado podría generar responsabilidad estatal respecto de la entidad que creó o administró el riesgo, pero demostrar que esa eventual imputación corresponde al sector Defensa y no al Ministerio del Interior.</w:t>
      </w:r>
    </w:p>
    <w:p w14:paraId="4827DA33" w14:textId="77777777" w:rsidR="008B4C52" w:rsidRPr="008B4C52" w:rsidRDefault="008B4C52" w:rsidP="008B4C52">
      <w:pPr>
        <w:spacing w:line="276" w:lineRule="auto"/>
        <w:jc w:val="both"/>
        <w:rPr>
          <w:rFonts w:ascii="Cambria" w:hAnsi="Cambria"/>
        </w:rPr>
      </w:pPr>
      <w:r w:rsidRPr="008B4C52">
        <w:rPr>
          <w:rFonts w:ascii="Cambria" w:hAnsi="Cambria"/>
        </w:rPr>
        <w:t>En los anteriores términos, la Secretaría General deja formuladas respetuosamente las observaciones y recomendaciones resultantes del análisis integral de las fichas sometidas a consideración del Comité de Conciliación y Defensa Judicial en la sesión del 23 de julio de 2026. Estas apreciaciones tienen como propósito contribuir al fortalecimiento de la estrategia de defensa jurídica del Ministerio del Interior, a la adecuada valoración de los riesgos litigiosos y probatorios, a la protección del patrimonio público y al cumplimiento riguroso de la misión preventiva, decisoria y orientadora asignada al Comité.</w:t>
      </w:r>
    </w:p>
    <w:p w14:paraId="3BEAA713" w14:textId="77777777" w:rsidR="008B4C52" w:rsidRPr="008B4C52" w:rsidRDefault="008B4C52" w:rsidP="008B4C52">
      <w:pPr>
        <w:spacing w:line="276" w:lineRule="auto"/>
        <w:jc w:val="both"/>
        <w:rPr>
          <w:rFonts w:ascii="Cambria" w:hAnsi="Cambria"/>
        </w:rPr>
      </w:pPr>
      <w:r w:rsidRPr="008B4C52">
        <w:rPr>
          <w:rFonts w:ascii="Cambria" w:hAnsi="Cambria"/>
        </w:rPr>
        <w:t xml:space="preserve">Se solicita respetuosamente a la Dirección Jurídica y a los apoderados responsables valorar las recomendaciones expuestas, efectuar las verificaciones documentales y jurídicas señaladas y, cuando resulte procedente, complementar o ajustar las </w:t>
      </w:r>
      <w:r w:rsidRPr="008B4C52">
        <w:rPr>
          <w:rFonts w:ascii="Cambria" w:hAnsi="Cambria"/>
        </w:rPr>
        <w:lastRenderedPageBreak/>
        <w:t>respectivas fichas antes de su presentación definitiva. Lo anterior permitirá que las decisiones del Comité se adopten sobre información suficiente, coherente y actualizada, con estricta observancia de los principios de legalidad, planeación, coordinación, responsabilidad y defensa integral de los intereses de la entidad.</w:t>
      </w:r>
    </w:p>
    <w:p w14:paraId="267AAB05" w14:textId="77777777" w:rsidR="008B4C52" w:rsidRPr="008B4C52" w:rsidRDefault="008B4C52" w:rsidP="008B4C52">
      <w:pPr>
        <w:spacing w:line="276" w:lineRule="auto"/>
        <w:jc w:val="both"/>
        <w:rPr>
          <w:rFonts w:ascii="Cambria" w:hAnsi="Cambria"/>
        </w:rPr>
      </w:pPr>
    </w:p>
    <w:p w14:paraId="341867DC" w14:textId="77777777" w:rsidR="008B4C52" w:rsidRPr="008B4C52" w:rsidRDefault="008B4C52" w:rsidP="008B4C52">
      <w:pPr>
        <w:spacing w:line="276" w:lineRule="auto"/>
        <w:jc w:val="both"/>
        <w:rPr>
          <w:rFonts w:ascii="Cambria" w:hAnsi="Cambria"/>
        </w:rPr>
      </w:pPr>
      <w:r w:rsidRPr="008B4C52">
        <w:rPr>
          <w:rFonts w:ascii="Cambria" w:hAnsi="Cambria"/>
        </w:rPr>
        <w:t>Cordialmente,</w:t>
      </w:r>
    </w:p>
    <w:p w14:paraId="4CDDB36A" w14:textId="77777777" w:rsidR="008B4C52" w:rsidRPr="008B4C52" w:rsidRDefault="008B4C52" w:rsidP="008B4C52">
      <w:pPr>
        <w:spacing w:line="276" w:lineRule="auto"/>
        <w:jc w:val="both"/>
        <w:rPr>
          <w:rFonts w:ascii="Cambria" w:hAnsi="Cambria"/>
        </w:rPr>
      </w:pPr>
    </w:p>
    <w:p w14:paraId="4BB989DE" w14:textId="77777777" w:rsidR="008B4C52" w:rsidRPr="008B4C52" w:rsidRDefault="008B4C52" w:rsidP="008B4C52">
      <w:pPr>
        <w:spacing w:line="276" w:lineRule="auto"/>
        <w:jc w:val="both"/>
        <w:rPr>
          <w:rFonts w:ascii="Cambria" w:hAnsi="Cambria"/>
          <w:b/>
          <w:bCs/>
        </w:rPr>
      </w:pPr>
      <w:r w:rsidRPr="008B4C52">
        <w:rPr>
          <w:rFonts w:ascii="Cambria" w:hAnsi="Cambria"/>
          <w:b/>
          <w:bCs/>
        </w:rPr>
        <w:t>NANCY STELLA PATIÑO LEÓN</w:t>
      </w:r>
    </w:p>
    <w:p w14:paraId="2D6C36E9" w14:textId="1B96D8EC" w:rsidR="008B4C52" w:rsidRPr="008B4C52" w:rsidRDefault="008B4C52" w:rsidP="008B4C52">
      <w:pPr>
        <w:spacing w:line="276" w:lineRule="auto"/>
        <w:jc w:val="both"/>
        <w:rPr>
          <w:rFonts w:ascii="Cambria" w:hAnsi="Cambria"/>
          <w:b/>
          <w:bCs/>
        </w:rPr>
      </w:pPr>
      <w:r w:rsidRPr="008B4C52">
        <w:rPr>
          <w:rFonts w:ascii="Cambria" w:hAnsi="Cambria"/>
          <w:b/>
          <w:bCs/>
        </w:rPr>
        <w:t>Secretaria General</w:t>
      </w:r>
    </w:p>
    <w:p w14:paraId="2755223D" w14:textId="0C2F8ABC" w:rsidR="008B4C52" w:rsidRPr="008B4C52" w:rsidRDefault="008B4C52" w:rsidP="008B4C52">
      <w:pPr>
        <w:spacing w:line="276" w:lineRule="auto"/>
        <w:jc w:val="both"/>
      </w:pPr>
      <w:r w:rsidRPr="008B4C52">
        <w:br/>
      </w:r>
    </w:p>
    <w:p w14:paraId="5E866F79" w14:textId="77777777" w:rsidR="00500A30" w:rsidRPr="00500A30" w:rsidRDefault="00500A30" w:rsidP="00500A30">
      <w:pPr>
        <w:spacing w:line="276" w:lineRule="auto"/>
        <w:jc w:val="both"/>
      </w:pPr>
    </w:p>
    <w:p w14:paraId="57764469" w14:textId="77777777" w:rsidR="00DC4DBE" w:rsidRDefault="00DC4DBE" w:rsidP="00DC4DBE">
      <w:pPr>
        <w:spacing w:line="276" w:lineRule="auto"/>
        <w:jc w:val="both"/>
      </w:pPr>
    </w:p>
    <w:p w14:paraId="0861A1CC" w14:textId="77777777" w:rsidR="00DC4DBE" w:rsidRPr="00877A5F" w:rsidRDefault="00DC4DBE" w:rsidP="00DC4DBE">
      <w:pPr>
        <w:spacing w:line="276" w:lineRule="auto"/>
        <w:jc w:val="both"/>
        <w:rPr>
          <w:sz w:val="22"/>
          <w:szCs w:val="22"/>
        </w:rPr>
      </w:pPr>
      <w:r w:rsidRPr="00877A5F">
        <w:rPr>
          <w:sz w:val="22"/>
          <w:szCs w:val="22"/>
        </w:rPr>
        <w:t>Proyectó. Alejandro Franco Castaño. Asesor.</w:t>
      </w:r>
    </w:p>
    <w:p w14:paraId="2488C4AF" w14:textId="77777777" w:rsidR="00DC4DBE" w:rsidRDefault="00DC4DBE" w:rsidP="00DC4DBE">
      <w:pPr>
        <w:jc w:val="both"/>
      </w:pPr>
    </w:p>
    <w:p w14:paraId="2DEE428B" w14:textId="77777777" w:rsidR="00DC4DBE" w:rsidRDefault="00DC4DBE" w:rsidP="00DC4DBE">
      <w:pPr>
        <w:jc w:val="both"/>
      </w:pPr>
    </w:p>
    <w:p w14:paraId="63B786F2" w14:textId="77777777" w:rsidR="00CD1BB6" w:rsidRDefault="00CD1BB6"/>
    <w:sectPr w:rsidR="00CD1BB6" w:rsidSect="00DC4DBE">
      <w:headerReference w:type="default" r:id="rId5"/>
      <w:footerReference w:type="default" r:id="rId6"/>
      <w:pgSz w:w="12240" w:h="15840"/>
      <w:pgMar w:top="2127" w:right="1701" w:bottom="1512"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1828B1" w14:textId="77777777" w:rsidR="00000000" w:rsidRDefault="00000000">
    <w:pPr>
      <w:pStyle w:val="Piedepgina"/>
      <w:jc w:val="right"/>
    </w:pPr>
    <w:r>
      <w:rPr>
        <w:noProof/>
      </w:rPr>
      <mc:AlternateContent>
        <mc:Choice Requires="wps">
          <w:drawing>
            <wp:anchor distT="0" distB="0" distL="114300" distR="114300" simplePos="0" relativeHeight="251660288" behindDoc="0" locked="0" layoutInCell="1" allowOverlap="1" wp14:anchorId="480A5453" wp14:editId="4F51CE37">
              <wp:simplePos x="0" y="0"/>
              <wp:positionH relativeFrom="margin">
                <wp:align>center</wp:align>
              </wp:positionH>
              <wp:positionV relativeFrom="paragraph">
                <wp:posOffset>-235585</wp:posOffset>
              </wp:positionV>
              <wp:extent cx="6029325" cy="955675"/>
              <wp:effectExtent l="0" t="0" r="0" b="0"/>
              <wp:wrapNone/>
              <wp:docPr id="2" name="_x0000_s00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955675"/>
                      </a:xfrm>
                      <a:prstGeom prst="rect">
                        <a:avLst/>
                      </a:prstGeom>
                      <a:noFill/>
                      <a:ln>
                        <a:noFill/>
                      </a:ln>
                    </wps:spPr>
                    <wps:txbx>
                      <w:txbxContent>
                        <w:p w14:paraId="287BA796"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2AD8FE35"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619D137D"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62019340"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717AED37" w14:textId="77777777" w:rsidR="00000000" w:rsidRDefault="00000000">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13EB578F"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468AD719" w14:textId="77777777" w:rsidR="00000000" w:rsidRDefault="00000000">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480A5453" id="_x0000_s0002" o:spid="_x0000_s1026" style="position:absolute;left:0;text-align:left;margin-left:0;margin-top:-18.55pt;width:474.75pt;height:75.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" filled="f" stroked="f">
              <o:lock v:ext="edit" aspectratio="t"/>
              <v:textbox>
                <w:txbxContent>
                  <w:p w14:paraId="287BA796" w14:textId="77777777" w:rsidR="00000000" w:rsidRDefault="00000000">
                    <w:pPr>
                      <w:spacing w:line="276" w:lineRule="auto"/>
                      <w:jc w:val="both"/>
                      <w:rPr>
                        <w:rFonts w:ascii="Verdana" w:hAnsi="Verdana"/>
                        <w:sz w:val="20"/>
                      </w:rPr>
                    </w:pPr>
                    <w:r>
                      <w:rPr>
                        <w:rFonts w:ascii="Verdana" w:hAnsi="Verdana"/>
                        <w:sz w:val="20"/>
                      </w:rPr>
                      <w:t>________________________________________________________________________</w:t>
                    </w:r>
                  </w:p>
                  <w:p w14:paraId="2AD8FE35" w14:textId="77777777" w:rsidR="00000000" w:rsidRDefault="00000000">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619D137D" w14:textId="77777777" w:rsidR="00000000" w:rsidRDefault="00000000">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62019340" w14:textId="77777777" w:rsidR="00000000" w:rsidRDefault="00000000">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717AED37" w14:textId="77777777" w:rsidR="00000000" w:rsidRDefault="00000000">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13EB578F" w14:textId="77777777" w:rsidR="00000000" w:rsidRDefault="00000000">
                    <w:pPr>
                      <w:spacing w:line="276" w:lineRule="auto"/>
                      <w:jc w:val="both"/>
                      <w:rPr>
                        <w:rFonts w:ascii="Helvetica Light" w:hAnsi="Helvetica Light"/>
                        <w:sz w:val="18"/>
                      </w:rPr>
                    </w:pPr>
                    <w:r>
                      <w:rPr>
                        <w:rFonts w:ascii="Helvetica Light" w:hAnsi="Helvetica Light"/>
                        <w:sz w:val="18"/>
                      </w:rPr>
                      <w:t>www.mininterior.gov.co</w:t>
                    </w:r>
                  </w:p>
                  <w:p w14:paraId="468AD719" w14:textId="77777777" w:rsidR="00000000" w:rsidRDefault="00000000">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0DDEB71" w14:textId="77777777" w:rsidR="00000000" w:rsidRDefault="00000000">
    <w:pPr>
      <w:spacing w:line="276" w:lineRule="auto"/>
      <w:jc w:val="both"/>
      <w:rPr>
        <w:rFonts w:ascii="Helvetica" w:hAnsi="Helvetica"/>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1D3888" w14:textId="77777777" w:rsidR="00000000" w:rsidRDefault="00000000">
    <w:pPr>
      <w:pStyle w:val="Encabezado"/>
    </w:pPr>
    <w:r>
      <w:rPr>
        <w:noProof/>
        <w:lang w:eastAsia="es-CO"/>
      </w:rPr>
      <w:drawing>
        <wp:anchor distT="0" distB="0" distL="114300" distR="114300" simplePos="0" relativeHeight="251659264" behindDoc="1" locked="0" layoutInCell="1" allowOverlap="1" wp14:anchorId="43689854" wp14:editId="1EA8AD3A">
          <wp:simplePos x="0" y="0"/>
          <wp:positionH relativeFrom="margin">
            <wp:align>left</wp:align>
          </wp:positionH>
          <wp:positionV relativeFrom="paragraph">
            <wp:posOffset>-67310</wp:posOffset>
          </wp:positionV>
          <wp:extent cx="1234440" cy="1057910"/>
          <wp:effectExtent l="0" t="0" r="0" b="0"/>
          <wp:wrapNone/>
          <wp:docPr id="1" name="_x0000_s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1A0E99EB" w14:textId="77777777" w:rsidR="00000000" w:rsidRDefault="00000000">
    <w:pPr>
      <w:pStyle w:val="Encabezado"/>
    </w:pPr>
  </w:p>
  <w:p w14:paraId="3D337E0D" w14:textId="77777777" w:rsidR="00000000" w:rsidRDefault="00000000">
    <w:pPr>
      <w:pStyle w:val="Encabezado"/>
    </w:pPr>
  </w:p>
  <w:p w14:paraId="7B777C9B" w14:textId="77777777" w:rsidR="00000000" w:rsidRDefault="00000000">
    <w:pPr>
      <w:pStyle w:val="Encabezado"/>
    </w:pPr>
  </w:p>
  <w:p w14:paraId="31F435E1" w14:textId="77777777" w:rsidR="00000000" w:rsidRDefault="00000000">
    <w:pPr>
      <w:pStyle w:val="Encabezado"/>
    </w:pPr>
  </w:p>
  <w:p w14:paraId="00C3BE0D" w14:textId="77777777" w:rsidR="00000000" w:rsidRDefault="00000000">
    <w:pPr>
      <w:pStyle w:val="Encabezado"/>
    </w:pPr>
  </w:p>
  <w:p w14:paraId="705EACDF" w14:textId="77777777" w:rsidR="00000000" w:rsidRDefault="00000000">
    <w:pPr>
      <w:pStyle w:val="Encabezado"/>
    </w:pPr>
  </w:p>
  <w:p w14:paraId="7B1AD108" w14:textId="77777777" w:rsidR="00000000" w:rsidRDefault="00000000">
    <w:pPr>
      <w:pStyle w:val="Encabezado"/>
    </w:pP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CB0317" w14:paraId="2C4A4498" w14:textId="77777777">
      <w:trPr>
        <w:trHeight w:val="1408"/>
      </w:trPr>
      <w:tc>
        <w:tcPr>
          <w:tcW w:w="4537" w:type="dxa"/>
        </w:tcPr>
        <w:p w14:paraId="4ED22C65" w14:textId="77777777" w:rsidR="00000000" w:rsidRDefault="00000000">
          <w:pPr>
            <w:pStyle w:val="Encabezado"/>
            <w:tabs>
              <w:tab w:val="clear" w:pos="4419"/>
              <w:tab w:val="left" w:pos="7500"/>
            </w:tabs>
            <w:jc w:val="center"/>
            <w:rPr>
              <w:rFonts w:ascii="Helvetica Light" w:hAnsi="Helvetica Light"/>
              <w:sz w:val="18"/>
              <w:lang w:val="pt-BR" w:eastAsia="es-CO"/>
            </w:rPr>
          </w:pPr>
          <w:r>
            <w:rPr>
              <w:rFonts w:ascii="Helvetica Light" w:hAnsi="Helvetica Light"/>
              <w:sz w:val="18"/>
              <w:highlight w:val="white"/>
              <w:lang w:val="pt-BR"/>
            </w:rPr>
            <w:t>R3DkODE-39</w:t>
          </w:r>
        </w:p>
        <w:p w14:paraId="6FFE0EB5" w14:textId="77777777" w:rsidR="00000000" w:rsidRDefault="00000000">
          <w:pPr>
            <w:pStyle w:val="Encabezado"/>
            <w:tabs>
              <w:tab w:val="clear" w:pos="4419"/>
              <w:tab w:val="left" w:pos="7500"/>
            </w:tabs>
            <w:jc w:val="center"/>
            <w:rPr>
              <w:rFonts w:ascii="Helvetica Light" w:hAnsi="Helvetica Light"/>
              <w:sz w:val="18"/>
              <w:lang w:val="pt-BR"/>
            </w:rPr>
          </w:pPr>
        </w:p>
        <w:p w14:paraId="008724CD"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R4D1C4D0_1</w:t>
          </w:r>
        </w:p>
        <w:p w14:paraId="5B9B874A"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R4D1C4D0_2</w:t>
          </w:r>
        </w:p>
        <w:p w14:paraId="78A21246"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R4D1C4D0_3</w:t>
          </w:r>
        </w:p>
        <w:p w14:paraId="7CA3FE6A" w14:textId="77777777" w:rsidR="00000000" w:rsidRDefault="00000000">
          <w:pPr>
            <w:pStyle w:val="Sinespaciado"/>
            <w:jc w:val="both"/>
            <w:rPr>
              <w:rFonts w:ascii="Helvetica Light" w:hAnsi="Helvetica Light"/>
              <w:sz w:val="14"/>
              <w:lang w:val="pt-BR"/>
            </w:rPr>
          </w:pPr>
          <w:r>
            <w:rPr>
              <w:rFonts w:ascii="Helvetica Light" w:hAnsi="Helvetica Light"/>
              <w:sz w:val="14"/>
              <w:lang w:val="pt-BR"/>
            </w:rPr>
            <w:t>R4D1C4D0_4</w:t>
          </w:r>
        </w:p>
        <w:p w14:paraId="3A64136E" w14:textId="77777777" w:rsidR="00000000" w:rsidRDefault="00000000">
          <w:pPr>
            <w:pStyle w:val="Encabezado"/>
          </w:pPr>
          <w:r>
            <w:rPr>
              <w:rFonts w:ascii="Helvetica Light" w:hAnsi="Helvetica Light"/>
              <w:sz w:val="14"/>
            </w:rPr>
            <w:t>R4D1C4D0_5</w:t>
          </w:r>
        </w:p>
      </w:tc>
    </w:tr>
  </w:tbl>
  <w:p w14:paraId="383648B2" w14:textId="77777777" w:rsidR="00000000"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BB144D9"/>
    <w:multiLevelType w:val="multilevel"/>
    <w:tmpl w:val="3DDEE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325AC"/>
    <w:multiLevelType w:val="multilevel"/>
    <w:tmpl w:val="EB6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1065D7"/>
    <w:multiLevelType w:val="multilevel"/>
    <w:tmpl w:val="5B8A3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E233C3"/>
    <w:multiLevelType w:val="multilevel"/>
    <w:tmpl w:val="EB6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196550"/>
    <w:multiLevelType w:val="multilevel"/>
    <w:tmpl w:val="EB6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AC5796"/>
    <w:multiLevelType w:val="multilevel"/>
    <w:tmpl w:val="EB6E8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4606517">
    <w:abstractNumId w:val="0"/>
  </w:num>
  <w:num w:numId="2" w16cid:durableId="1558198429">
    <w:abstractNumId w:val="2"/>
  </w:num>
  <w:num w:numId="3" w16cid:durableId="1694375454">
    <w:abstractNumId w:val="1"/>
  </w:num>
  <w:num w:numId="4" w16cid:durableId="231626154">
    <w:abstractNumId w:val="4"/>
  </w:num>
  <w:num w:numId="5" w16cid:durableId="1752391427">
    <w:abstractNumId w:val="5"/>
  </w:num>
  <w:num w:numId="6" w16cid:durableId="168446973">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DBE"/>
    <w:rsid w:val="000F3776"/>
    <w:rsid w:val="003237D3"/>
    <w:rsid w:val="00350A6D"/>
    <w:rsid w:val="00352A80"/>
    <w:rsid w:val="003C3B0C"/>
    <w:rsid w:val="00500A30"/>
    <w:rsid w:val="006273D1"/>
    <w:rsid w:val="007947F6"/>
    <w:rsid w:val="008B4C52"/>
    <w:rsid w:val="00C33DD3"/>
    <w:rsid w:val="00CD1BB6"/>
    <w:rsid w:val="00D34AC6"/>
    <w:rsid w:val="00DC4D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D8680E6"/>
  <w15:chartTrackingRefBased/>
  <w15:docId w15:val="{6684BBD2-A261-CB43-BE16-6DBEF803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DBE"/>
    <w:pPr>
      <w:spacing w:after="0" w:line="240" w:lineRule="auto"/>
    </w:pPr>
    <w:rPr>
      <w:rFonts w:ascii="Times New Roman" w:eastAsia="Times New Roman" w:hAnsi="Times New Roman" w:cs="Times New Roman"/>
      <w:kern w:val="0"/>
      <w:szCs w:val="20"/>
      <w:lang w:eastAsia="es-CO"/>
      <w14:ligatures w14:val="none"/>
    </w:rPr>
  </w:style>
  <w:style w:type="paragraph" w:styleId="Ttulo1">
    <w:name w:val="heading 1"/>
    <w:basedOn w:val="Normal"/>
    <w:next w:val="Normal"/>
    <w:link w:val="Ttulo1Car"/>
    <w:uiPriority w:val="9"/>
    <w:qFormat/>
    <w:rsid w:val="00DC4D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C4D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DC4DB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C4DB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C4DB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C4DB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C4DB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C4DB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C4DB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C4DB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DC4DB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DC4DB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C4DB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C4DB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C4D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C4D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C4D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C4DBE"/>
    <w:rPr>
      <w:rFonts w:eastAsiaTheme="majorEastAsia" w:cstheme="majorBidi"/>
      <w:color w:val="272727" w:themeColor="text1" w:themeTint="D8"/>
    </w:rPr>
  </w:style>
  <w:style w:type="paragraph" w:styleId="Ttulo">
    <w:name w:val="Title"/>
    <w:basedOn w:val="Normal"/>
    <w:next w:val="Normal"/>
    <w:link w:val="TtuloCar"/>
    <w:uiPriority w:val="10"/>
    <w:qFormat/>
    <w:rsid w:val="00DC4DB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C4D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C4DB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C4D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C4DBE"/>
    <w:pPr>
      <w:spacing w:before="160"/>
      <w:jc w:val="center"/>
    </w:pPr>
    <w:rPr>
      <w:i/>
      <w:iCs/>
      <w:color w:val="404040" w:themeColor="text1" w:themeTint="BF"/>
    </w:rPr>
  </w:style>
  <w:style w:type="character" w:customStyle="1" w:styleId="CitaCar">
    <w:name w:val="Cita Car"/>
    <w:basedOn w:val="Fuentedeprrafopredeter"/>
    <w:link w:val="Cita"/>
    <w:uiPriority w:val="29"/>
    <w:rsid w:val="00DC4DBE"/>
    <w:rPr>
      <w:i/>
      <w:iCs/>
      <w:color w:val="404040" w:themeColor="text1" w:themeTint="BF"/>
    </w:rPr>
  </w:style>
  <w:style w:type="paragraph" w:styleId="Prrafodelista">
    <w:name w:val="List Paragraph"/>
    <w:basedOn w:val="Normal"/>
    <w:uiPriority w:val="34"/>
    <w:qFormat/>
    <w:rsid w:val="00DC4DBE"/>
    <w:pPr>
      <w:ind w:left="720"/>
      <w:contextualSpacing/>
    </w:pPr>
  </w:style>
  <w:style w:type="character" w:styleId="nfasisintenso">
    <w:name w:val="Intense Emphasis"/>
    <w:basedOn w:val="Fuentedeprrafopredeter"/>
    <w:uiPriority w:val="21"/>
    <w:qFormat/>
    <w:rsid w:val="00DC4DBE"/>
    <w:rPr>
      <w:i/>
      <w:iCs/>
      <w:color w:val="0F4761" w:themeColor="accent1" w:themeShade="BF"/>
    </w:rPr>
  </w:style>
  <w:style w:type="paragraph" w:styleId="Citadestacada">
    <w:name w:val="Intense Quote"/>
    <w:basedOn w:val="Normal"/>
    <w:next w:val="Normal"/>
    <w:link w:val="CitadestacadaCar"/>
    <w:uiPriority w:val="30"/>
    <w:qFormat/>
    <w:rsid w:val="00DC4D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C4DBE"/>
    <w:rPr>
      <w:i/>
      <w:iCs/>
      <w:color w:val="0F4761" w:themeColor="accent1" w:themeShade="BF"/>
    </w:rPr>
  </w:style>
  <w:style w:type="character" w:styleId="Referenciaintensa">
    <w:name w:val="Intense Reference"/>
    <w:basedOn w:val="Fuentedeprrafopredeter"/>
    <w:uiPriority w:val="32"/>
    <w:qFormat/>
    <w:rsid w:val="00DC4DBE"/>
    <w:rPr>
      <w:b/>
      <w:bCs/>
      <w:smallCaps/>
      <w:color w:val="0F4761" w:themeColor="accent1" w:themeShade="BF"/>
      <w:spacing w:val="5"/>
    </w:rPr>
  </w:style>
  <w:style w:type="paragraph" w:styleId="Encabezado">
    <w:name w:val="header"/>
    <w:basedOn w:val="Normal"/>
    <w:link w:val="EncabezadoCar"/>
    <w:qFormat/>
    <w:rsid w:val="00DC4DBE"/>
    <w:pPr>
      <w:tabs>
        <w:tab w:val="center" w:pos="4419"/>
        <w:tab w:val="right" w:pos="8838"/>
      </w:tabs>
    </w:pPr>
    <w:rPr>
      <w:rFonts w:ascii="Calibri" w:hAnsi="Calibri"/>
      <w:sz w:val="22"/>
      <w:lang w:eastAsia="en-US"/>
    </w:rPr>
  </w:style>
  <w:style w:type="character" w:customStyle="1" w:styleId="EncabezadoCar">
    <w:name w:val="Encabezado Car"/>
    <w:basedOn w:val="Fuentedeprrafopredeter"/>
    <w:link w:val="Encabezado"/>
    <w:rsid w:val="00DC4DBE"/>
    <w:rPr>
      <w:rFonts w:ascii="Calibri" w:eastAsia="Times New Roman" w:hAnsi="Calibri" w:cs="Times New Roman"/>
      <w:kern w:val="0"/>
      <w:sz w:val="22"/>
      <w:szCs w:val="20"/>
      <w14:ligatures w14:val="none"/>
    </w:rPr>
  </w:style>
  <w:style w:type="paragraph" w:styleId="Piedepgina">
    <w:name w:val="footer"/>
    <w:basedOn w:val="Normal"/>
    <w:link w:val="PiedepginaCar"/>
    <w:qFormat/>
    <w:rsid w:val="00DC4DBE"/>
    <w:pPr>
      <w:tabs>
        <w:tab w:val="center" w:pos="4419"/>
        <w:tab w:val="right" w:pos="8838"/>
      </w:tabs>
    </w:pPr>
    <w:rPr>
      <w:rFonts w:ascii="Calibri" w:hAnsi="Calibri"/>
      <w:sz w:val="22"/>
      <w:lang w:eastAsia="en-US"/>
    </w:rPr>
  </w:style>
  <w:style w:type="character" w:customStyle="1" w:styleId="PiedepginaCar">
    <w:name w:val="Pie de página Car"/>
    <w:basedOn w:val="Fuentedeprrafopredeter"/>
    <w:link w:val="Piedepgina"/>
    <w:rsid w:val="00DC4DBE"/>
    <w:rPr>
      <w:rFonts w:ascii="Calibri" w:eastAsia="Times New Roman" w:hAnsi="Calibri" w:cs="Times New Roman"/>
      <w:kern w:val="0"/>
      <w:sz w:val="22"/>
      <w:szCs w:val="20"/>
      <w14:ligatures w14:val="none"/>
    </w:rPr>
  </w:style>
  <w:style w:type="paragraph" w:styleId="Sinespaciado">
    <w:name w:val="No Spacing"/>
    <w:link w:val="SinespaciadoCar"/>
    <w:qFormat/>
    <w:rsid w:val="00DC4DBE"/>
    <w:pPr>
      <w:spacing w:after="0" w:line="240" w:lineRule="auto"/>
    </w:pPr>
    <w:rPr>
      <w:rFonts w:ascii="Calibri" w:eastAsia="Times New Roman" w:hAnsi="Calibri" w:cs="Times New Roman"/>
      <w:kern w:val="0"/>
      <w:sz w:val="22"/>
      <w:szCs w:val="20"/>
      <w14:ligatures w14:val="none"/>
    </w:rPr>
  </w:style>
  <w:style w:type="character" w:styleId="Hipervnculo">
    <w:name w:val="Hyperlink"/>
    <w:basedOn w:val="Fuentedeprrafopredeter"/>
    <w:rsid w:val="00DC4DBE"/>
    <w:rPr>
      <w:color w:val="467886" w:themeColor="hyperlink"/>
      <w:u w:val="single"/>
    </w:rPr>
  </w:style>
  <w:style w:type="character" w:customStyle="1" w:styleId="SinespaciadoCar">
    <w:name w:val="Sin espaciado Car"/>
    <w:link w:val="Sinespaciado"/>
    <w:rsid w:val="00DC4DBE"/>
    <w:rPr>
      <w:rFonts w:ascii="Calibri" w:eastAsia="Times New Roman" w:hAnsi="Calibri" w:cs="Times New Roman"/>
      <w:kern w:val="0"/>
      <w:sz w:val="22"/>
      <w:szCs w:val="20"/>
      <w14:ligatures w14:val="none"/>
    </w:rPr>
  </w:style>
  <w:style w:type="character" w:styleId="Fuerte">
    <w:name w:val="Strong"/>
    <w:basedOn w:val="Fuentedeprrafopredeter"/>
    <w:uiPriority w:val="22"/>
    <w:qFormat/>
    <w:rsid w:val="00DC4DBE"/>
    <w:rPr>
      <w:b/>
    </w:rPr>
  </w:style>
  <w:style w:type="paragraph" w:customStyle="1" w:styleId="isselectedend">
    <w:name w:val="isselectedend"/>
    <w:basedOn w:val="Normal"/>
    <w:rsid w:val="00DC4DBE"/>
    <w:pPr>
      <w:spacing w:before="100" w:beforeAutospacing="1" w:after="100" w:afterAutospacing="1"/>
    </w:pPr>
    <w:rPr>
      <w:szCs w:val="24"/>
      <w:lang w:eastAsia="es-MX"/>
    </w:rPr>
  </w:style>
  <w:style w:type="character" w:styleId="Mencinsinresolver">
    <w:name w:val="Unresolved Mention"/>
    <w:basedOn w:val="Fuentedeprrafopredeter"/>
    <w:uiPriority w:val="99"/>
    <w:semiHidden/>
    <w:unhideWhenUsed/>
    <w:rsid w:val="00DC4DBE"/>
    <w:rPr>
      <w:color w:val="605E5C"/>
      <w:shd w:val="clear" w:color="auto" w:fill="E1DFDD"/>
    </w:rPr>
  </w:style>
  <w:style w:type="paragraph" w:styleId="NormalWeb">
    <w:name w:val="Normal (Web)"/>
    <w:basedOn w:val="Normal"/>
    <w:uiPriority w:val="99"/>
    <w:semiHidden/>
    <w:unhideWhenUsed/>
    <w:rsid w:val="00DC4DBE"/>
    <w:pPr>
      <w:spacing w:before="100" w:beforeAutospacing="1" w:after="100" w:afterAutospacing="1"/>
    </w:pPr>
    <w:rPr>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20</Pages>
  <Words>5323</Words>
  <Characters>31781</Characters>
  <Application>Microsoft Office Word</Application>
  <DocSecurity>0</DocSecurity>
  <Lines>460</Lines>
  <Paragraphs>192</Paragraphs>
  <ScaleCrop>false</ScaleCrop>
  <Company/>
  <LinksUpToDate>false</LinksUpToDate>
  <CharactersWithSpaces>36912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franco castaño</dc:creator>
  <cp:keywords/>
  <dc:description/>
  <cp:lastModifiedBy>alejandro franco castaño</cp:lastModifiedBy>
  <cp:revision>9</cp:revision>
  <dcterms:created xsi:type="dcterms:W3CDTF">2026-07-22T03:48:00Z</dcterms:created>
  <dcterms:modified xsi:type="dcterms:W3CDTF">2026-07-22T05:01:00Z</dcterms:modified>
</cp:coreProperties>
</file>